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1376" w:rsidRPr="00A66038" w:rsidRDefault="00C91376" w:rsidP="00F50B57">
      <w:pPr>
        <w:rPr>
          <w:b/>
        </w:rPr>
      </w:pPr>
      <w:r w:rsidRPr="00A66038">
        <w:rPr>
          <w:b/>
        </w:rPr>
        <w:t>ERRM Minutes</w:t>
      </w:r>
    </w:p>
    <w:p w:rsidR="008740C3" w:rsidRDefault="00C91376">
      <w:pPr>
        <w:rPr>
          <w:b/>
        </w:rPr>
      </w:pPr>
      <w:r w:rsidRPr="00A33346">
        <w:rPr>
          <w:b/>
        </w:rPr>
        <w:t>Date:</w:t>
      </w:r>
      <w:r w:rsidRPr="00A33346">
        <w:rPr>
          <w:b/>
        </w:rPr>
        <w:tab/>
        <w:t>29</w:t>
      </w:r>
      <w:r w:rsidRPr="00A33346">
        <w:rPr>
          <w:b/>
          <w:vertAlign w:val="superscript"/>
        </w:rPr>
        <w:t>th</w:t>
      </w:r>
      <w:r w:rsidRPr="00A33346">
        <w:rPr>
          <w:b/>
        </w:rPr>
        <w:t xml:space="preserve"> November 2019 10-10:45 am </w:t>
      </w:r>
      <w:r w:rsidRPr="00A33346">
        <w:rPr>
          <w:b/>
        </w:rPr>
        <w:tab/>
      </w:r>
      <w:r w:rsidR="00F50B57" w:rsidRPr="00A33346">
        <w:rPr>
          <w:b/>
        </w:rPr>
        <w:tab/>
      </w:r>
      <w:r w:rsidR="00F50B57" w:rsidRPr="00A33346">
        <w:rPr>
          <w:b/>
        </w:rPr>
        <w:tab/>
      </w:r>
      <w:r w:rsidR="00F50B57" w:rsidRPr="00A33346">
        <w:rPr>
          <w:b/>
        </w:rPr>
        <w:tab/>
      </w:r>
      <w:r w:rsidR="00F50B57" w:rsidRPr="00A33346">
        <w:rPr>
          <w:b/>
        </w:rPr>
        <w:tab/>
      </w:r>
      <w:r w:rsidRPr="00A33346">
        <w:rPr>
          <w:b/>
        </w:rPr>
        <w:t>Venue:</w:t>
      </w:r>
      <w:r w:rsidRPr="00A33346">
        <w:rPr>
          <w:b/>
        </w:rPr>
        <w:tab/>
        <w:t>DRC office</w:t>
      </w:r>
    </w:p>
    <w:p w:rsidR="00970F32" w:rsidRPr="00A33346" w:rsidRDefault="00970F32" w:rsidP="00DA74B3">
      <w:pPr>
        <w:ind w:left="1440" w:hanging="1440"/>
        <w:rPr>
          <w:b/>
        </w:rPr>
      </w:pPr>
      <w:r>
        <w:rPr>
          <w:b/>
        </w:rPr>
        <w:t>Participants:</w:t>
      </w:r>
      <w:r>
        <w:rPr>
          <w:b/>
        </w:rPr>
        <w:tab/>
      </w:r>
      <w:proofErr w:type="spellStart"/>
      <w:r>
        <w:rPr>
          <w:b/>
        </w:rPr>
        <w:t>Medair</w:t>
      </w:r>
      <w:proofErr w:type="spellEnd"/>
      <w:r>
        <w:rPr>
          <w:b/>
        </w:rPr>
        <w:t xml:space="preserve">: Sarah Robinson &amp; </w:t>
      </w:r>
      <w:proofErr w:type="gramStart"/>
      <w:r w:rsidR="006C571E">
        <w:rPr>
          <w:b/>
        </w:rPr>
        <w:t xml:space="preserve">Eric; </w:t>
      </w:r>
      <w:r>
        <w:rPr>
          <w:b/>
        </w:rPr>
        <w:t xml:space="preserve">  </w:t>
      </w:r>
      <w:proofErr w:type="gramEnd"/>
      <w:r>
        <w:rPr>
          <w:b/>
        </w:rPr>
        <w:t xml:space="preserve">NRC: Sultan </w:t>
      </w:r>
      <w:r w:rsidR="00B87C87">
        <w:rPr>
          <w:b/>
        </w:rPr>
        <w:t xml:space="preserve">Mahmood &amp; John </w:t>
      </w:r>
      <w:proofErr w:type="spellStart"/>
      <w:r w:rsidR="00B87C87">
        <w:rPr>
          <w:b/>
        </w:rPr>
        <w:t>Rutaro</w:t>
      </w:r>
      <w:proofErr w:type="spellEnd"/>
      <w:r w:rsidR="006C571E">
        <w:rPr>
          <w:b/>
        </w:rPr>
        <w:t>;</w:t>
      </w:r>
      <w:r>
        <w:rPr>
          <w:b/>
        </w:rPr>
        <w:t xml:space="preserve">   PAH: Beata</w:t>
      </w:r>
      <w:r w:rsidR="00DA74B3">
        <w:rPr>
          <w:b/>
        </w:rPr>
        <w:t xml:space="preserve"> </w:t>
      </w:r>
      <w:proofErr w:type="spellStart"/>
      <w:r w:rsidR="00DA74B3">
        <w:rPr>
          <w:b/>
        </w:rPr>
        <w:t>Dolinska</w:t>
      </w:r>
      <w:proofErr w:type="spellEnd"/>
      <w:r w:rsidR="006C571E">
        <w:rPr>
          <w:b/>
        </w:rPr>
        <w:t>,</w:t>
      </w:r>
      <w:r w:rsidR="00E9120E">
        <w:rPr>
          <w:b/>
        </w:rPr>
        <w:t xml:space="preserve"> Taban Tabuley, Karolina Suche</w:t>
      </w:r>
      <w:r w:rsidR="00051AC1">
        <w:rPr>
          <w:b/>
        </w:rPr>
        <w:t>c</w:t>
      </w:r>
      <w:r w:rsidR="00E9120E">
        <w:rPr>
          <w:b/>
        </w:rPr>
        <w:t>ka</w:t>
      </w:r>
      <w:r w:rsidR="006C571E">
        <w:rPr>
          <w:b/>
        </w:rPr>
        <w:t xml:space="preserve"> </w:t>
      </w:r>
      <w:r w:rsidR="00051AC1">
        <w:rPr>
          <w:b/>
        </w:rPr>
        <w:t xml:space="preserve">&amp; Joanna </w:t>
      </w:r>
      <w:proofErr w:type="spellStart"/>
      <w:r w:rsidR="00051AC1">
        <w:rPr>
          <w:b/>
        </w:rPr>
        <w:t>J</w:t>
      </w:r>
      <w:r w:rsidR="00051AC1" w:rsidRPr="00051AC1">
        <w:rPr>
          <w:b/>
        </w:rPr>
        <w:t>urgielewicz</w:t>
      </w:r>
      <w:proofErr w:type="spellEnd"/>
      <w:r w:rsidR="006C571E">
        <w:rPr>
          <w:b/>
        </w:rPr>
        <w:t xml:space="preserve">; </w:t>
      </w:r>
      <w:r>
        <w:rPr>
          <w:b/>
        </w:rPr>
        <w:t>DRC: Demmelash</w:t>
      </w:r>
      <w:r w:rsidR="00B87C87">
        <w:rPr>
          <w:b/>
        </w:rPr>
        <w:t xml:space="preserve"> Adera</w:t>
      </w:r>
    </w:p>
    <w:tbl>
      <w:tblPr>
        <w:tblStyle w:val="TableGrid"/>
        <w:tblW w:w="9715" w:type="dxa"/>
        <w:tblLook w:val="04A0" w:firstRow="1" w:lastRow="0" w:firstColumn="1" w:lastColumn="0" w:noHBand="0" w:noVBand="1"/>
      </w:tblPr>
      <w:tblGrid>
        <w:gridCol w:w="2155"/>
        <w:gridCol w:w="1864"/>
        <w:gridCol w:w="1777"/>
        <w:gridCol w:w="1777"/>
        <w:gridCol w:w="2142"/>
      </w:tblGrid>
      <w:tr w:rsidR="002537A4" w:rsidTr="0022117F">
        <w:tc>
          <w:tcPr>
            <w:tcW w:w="2155" w:type="dxa"/>
            <w:shd w:val="clear" w:color="auto" w:fill="D5DCE4" w:themeFill="text2" w:themeFillTint="33"/>
          </w:tcPr>
          <w:p w:rsidR="002537A4" w:rsidRPr="0022117F" w:rsidRDefault="004148F3">
            <w:pPr>
              <w:rPr>
                <w:b/>
                <w:sz w:val="20"/>
              </w:rPr>
            </w:pPr>
            <w:r>
              <w:rPr>
                <w:b/>
                <w:sz w:val="20"/>
              </w:rPr>
              <w:t xml:space="preserve">For </w:t>
            </w:r>
            <w:r w:rsidR="0022117F" w:rsidRPr="0022117F">
              <w:rPr>
                <w:b/>
                <w:sz w:val="20"/>
              </w:rPr>
              <w:t>2020</w:t>
            </w:r>
          </w:p>
        </w:tc>
        <w:tc>
          <w:tcPr>
            <w:tcW w:w="1864" w:type="dxa"/>
            <w:shd w:val="clear" w:color="auto" w:fill="D5DCE4" w:themeFill="text2" w:themeFillTint="33"/>
          </w:tcPr>
          <w:p w:rsidR="002537A4" w:rsidRPr="0022117F" w:rsidRDefault="002537A4">
            <w:pPr>
              <w:rPr>
                <w:b/>
                <w:sz w:val="20"/>
              </w:rPr>
            </w:pPr>
            <w:r w:rsidRPr="0022117F">
              <w:rPr>
                <w:b/>
                <w:sz w:val="20"/>
              </w:rPr>
              <w:t>DRC</w:t>
            </w:r>
          </w:p>
        </w:tc>
        <w:tc>
          <w:tcPr>
            <w:tcW w:w="1777" w:type="dxa"/>
            <w:shd w:val="clear" w:color="auto" w:fill="D5DCE4" w:themeFill="text2" w:themeFillTint="33"/>
          </w:tcPr>
          <w:p w:rsidR="002537A4" w:rsidRPr="0022117F" w:rsidRDefault="002D2A1D">
            <w:pPr>
              <w:rPr>
                <w:b/>
                <w:sz w:val="20"/>
              </w:rPr>
            </w:pPr>
            <w:proofErr w:type="spellStart"/>
            <w:r w:rsidRPr="0022117F">
              <w:rPr>
                <w:b/>
                <w:sz w:val="20"/>
              </w:rPr>
              <w:t>Medair</w:t>
            </w:r>
            <w:proofErr w:type="spellEnd"/>
          </w:p>
        </w:tc>
        <w:tc>
          <w:tcPr>
            <w:tcW w:w="1777" w:type="dxa"/>
            <w:shd w:val="clear" w:color="auto" w:fill="D5DCE4" w:themeFill="text2" w:themeFillTint="33"/>
          </w:tcPr>
          <w:p w:rsidR="002537A4" w:rsidRPr="0022117F" w:rsidRDefault="002D2A1D">
            <w:pPr>
              <w:rPr>
                <w:b/>
                <w:sz w:val="20"/>
              </w:rPr>
            </w:pPr>
            <w:r w:rsidRPr="0022117F">
              <w:rPr>
                <w:b/>
                <w:sz w:val="20"/>
              </w:rPr>
              <w:t>NRC</w:t>
            </w:r>
          </w:p>
        </w:tc>
        <w:tc>
          <w:tcPr>
            <w:tcW w:w="2142" w:type="dxa"/>
            <w:shd w:val="clear" w:color="auto" w:fill="D5DCE4" w:themeFill="text2" w:themeFillTint="33"/>
          </w:tcPr>
          <w:p w:rsidR="002537A4" w:rsidRPr="0022117F" w:rsidRDefault="002D2A1D">
            <w:pPr>
              <w:rPr>
                <w:b/>
                <w:sz w:val="20"/>
              </w:rPr>
            </w:pPr>
            <w:r w:rsidRPr="0022117F">
              <w:rPr>
                <w:b/>
                <w:sz w:val="20"/>
              </w:rPr>
              <w:t>PAH</w:t>
            </w:r>
          </w:p>
        </w:tc>
      </w:tr>
      <w:tr w:rsidR="002537A4" w:rsidTr="0022117F">
        <w:tc>
          <w:tcPr>
            <w:tcW w:w="2155" w:type="dxa"/>
            <w:shd w:val="clear" w:color="auto" w:fill="D5DCE4" w:themeFill="text2" w:themeFillTint="33"/>
          </w:tcPr>
          <w:p w:rsidR="002537A4" w:rsidRPr="0022117F" w:rsidRDefault="002537A4">
            <w:pPr>
              <w:rPr>
                <w:b/>
                <w:sz w:val="20"/>
              </w:rPr>
            </w:pPr>
            <w:r w:rsidRPr="0022117F">
              <w:rPr>
                <w:b/>
                <w:sz w:val="20"/>
              </w:rPr>
              <w:t>Application status</w:t>
            </w:r>
          </w:p>
        </w:tc>
        <w:tc>
          <w:tcPr>
            <w:tcW w:w="1864" w:type="dxa"/>
          </w:tcPr>
          <w:p w:rsidR="002537A4" w:rsidRPr="0022117F" w:rsidRDefault="002D2A1D">
            <w:pPr>
              <w:rPr>
                <w:sz w:val="20"/>
              </w:rPr>
            </w:pPr>
            <w:r w:rsidRPr="0022117F">
              <w:rPr>
                <w:sz w:val="20"/>
              </w:rPr>
              <w:t>New</w:t>
            </w:r>
          </w:p>
        </w:tc>
        <w:tc>
          <w:tcPr>
            <w:tcW w:w="1777" w:type="dxa"/>
          </w:tcPr>
          <w:p w:rsidR="002537A4" w:rsidRPr="0022117F" w:rsidRDefault="002D2A1D">
            <w:pPr>
              <w:rPr>
                <w:sz w:val="20"/>
              </w:rPr>
            </w:pPr>
            <w:r w:rsidRPr="0022117F">
              <w:rPr>
                <w:sz w:val="20"/>
              </w:rPr>
              <w:t>New</w:t>
            </w:r>
          </w:p>
        </w:tc>
        <w:tc>
          <w:tcPr>
            <w:tcW w:w="1777" w:type="dxa"/>
          </w:tcPr>
          <w:p w:rsidR="002537A4" w:rsidRPr="0022117F" w:rsidRDefault="002D2A1D">
            <w:pPr>
              <w:rPr>
                <w:sz w:val="20"/>
              </w:rPr>
            </w:pPr>
            <w:r w:rsidRPr="0022117F">
              <w:rPr>
                <w:sz w:val="20"/>
              </w:rPr>
              <w:t>Modification</w:t>
            </w:r>
          </w:p>
        </w:tc>
        <w:tc>
          <w:tcPr>
            <w:tcW w:w="2142" w:type="dxa"/>
          </w:tcPr>
          <w:p w:rsidR="002537A4" w:rsidRPr="0022117F" w:rsidRDefault="002D2A1D">
            <w:pPr>
              <w:rPr>
                <w:sz w:val="20"/>
              </w:rPr>
            </w:pPr>
            <w:r w:rsidRPr="0022117F">
              <w:rPr>
                <w:sz w:val="20"/>
              </w:rPr>
              <w:t xml:space="preserve">New </w:t>
            </w:r>
          </w:p>
        </w:tc>
      </w:tr>
      <w:tr w:rsidR="002537A4" w:rsidTr="0022117F">
        <w:tc>
          <w:tcPr>
            <w:tcW w:w="2155" w:type="dxa"/>
            <w:shd w:val="clear" w:color="auto" w:fill="D5DCE4" w:themeFill="text2" w:themeFillTint="33"/>
          </w:tcPr>
          <w:p w:rsidR="002537A4" w:rsidRPr="0022117F" w:rsidRDefault="00CF0DCC">
            <w:pPr>
              <w:rPr>
                <w:b/>
                <w:sz w:val="20"/>
              </w:rPr>
            </w:pPr>
            <w:r w:rsidRPr="0022117F">
              <w:rPr>
                <w:b/>
                <w:sz w:val="20"/>
              </w:rPr>
              <w:t>Sectors of intervention</w:t>
            </w:r>
          </w:p>
        </w:tc>
        <w:tc>
          <w:tcPr>
            <w:tcW w:w="1864" w:type="dxa"/>
          </w:tcPr>
          <w:p w:rsidR="002537A4" w:rsidRPr="0022117F" w:rsidRDefault="004B5A53">
            <w:pPr>
              <w:rPr>
                <w:sz w:val="20"/>
              </w:rPr>
            </w:pPr>
            <w:r w:rsidRPr="0022117F">
              <w:rPr>
                <w:sz w:val="20"/>
              </w:rPr>
              <w:t xml:space="preserve">Same </w:t>
            </w:r>
          </w:p>
        </w:tc>
        <w:tc>
          <w:tcPr>
            <w:tcW w:w="1777" w:type="dxa"/>
          </w:tcPr>
          <w:p w:rsidR="002537A4" w:rsidRPr="0022117F" w:rsidRDefault="004B5A53">
            <w:pPr>
              <w:rPr>
                <w:sz w:val="20"/>
              </w:rPr>
            </w:pPr>
            <w:r w:rsidRPr="0022117F">
              <w:rPr>
                <w:sz w:val="20"/>
              </w:rPr>
              <w:t>same</w:t>
            </w:r>
          </w:p>
        </w:tc>
        <w:tc>
          <w:tcPr>
            <w:tcW w:w="1777" w:type="dxa"/>
          </w:tcPr>
          <w:p w:rsidR="002537A4" w:rsidRPr="0022117F" w:rsidRDefault="004B5A53">
            <w:pPr>
              <w:rPr>
                <w:sz w:val="20"/>
              </w:rPr>
            </w:pPr>
            <w:r w:rsidRPr="0022117F">
              <w:rPr>
                <w:sz w:val="20"/>
              </w:rPr>
              <w:t>same</w:t>
            </w:r>
          </w:p>
        </w:tc>
        <w:tc>
          <w:tcPr>
            <w:tcW w:w="2142" w:type="dxa"/>
          </w:tcPr>
          <w:p w:rsidR="002537A4" w:rsidRPr="0022117F" w:rsidRDefault="0022117F">
            <w:pPr>
              <w:rPr>
                <w:sz w:val="20"/>
              </w:rPr>
            </w:pPr>
            <w:r w:rsidRPr="0022117F">
              <w:rPr>
                <w:sz w:val="20"/>
              </w:rPr>
              <w:t>S</w:t>
            </w:r>
            <w:r w:rsidR="004B5A53" w:rsidRPr="0022117F">
              <w:rPr>
                <w:sz w:val="20"/>
              </w:rPr>
              <w:t>ame</w:t>
            </w:r>
          </w:p>
        </w:tc>
      </w:tr>
      <w:tr w:rsidR="0075632E" w:rsidTr="0022117F">
        <w:tc>
          <w:tcPr>
            <w:tcW w:w="2155" w:type="dxa"/>
            <w:shd w:val="clear" w:color="auto" w:fill="D5DCE4" w:themeFill="text2" w:themeFillTint="33"/>
          </w:tcPr>
          <w:p w:rsidR="0075632E" w:rsidRPr="0022117F" w:rsidRDefault="004148F3">
            <w:pPr>
              <w:rPr>
                <w:b/>
                <w:sz w:val="20"/>
              </w:rPr>
            </w:pPr>
            <w:r>
              <w:rPr>
                <w:b/>
                <w:sz w:val="20"/>
              </w:rPr>
              <w:t xml:space="preserve">Role of each agency: </w:t>
            </w:r>
            <w:r w:rsidR="0075632E" w:rsidRPr="0022117F">
              <w:rPr>
                <w:b/>
                <w:sz w:val="20"/>
              </w:rPr>
              <w:t xml:space="preserve">Revising </w:t>
            </w:r>
            <w:r w:rsidR="00CF0DCC" w:rsidRPr="0022117F">
              <w:rPr>
                <w:b/>
                <w:sz w:val="20"/>
              </w:rPr>
              <w:t xml:space="preserve">and Adapting </w:t>
            </w:r>
            <w:r w:rsidR="0075632E" w:rsidRPr="0022117F">
              <w:rPr>
                <w:b/>
                <w:sz w:val="20"/>
              </w:rPr>
              <w:t xml:space="preserve">Standardized Tools for assessment  taking note of </w:t>
            </w:r>
            <w:r w:rsidR="00CF0DCC" w:rsidRPr="0022117F">
              <w:rPr>
                <w:b/>
                <w:sz w:val="20"/>
              </w:rPr>
              <w:t>existing</w:t>
            </w:r>
            <w:r w:rsidR="0075632E" w:rsidRPr="0022117F">
              <w:rPr>
                <w:b/>
                <w:sz w:val="20"/>
              </w:rPr>
              <w:t xml:space="preserve"> clusters/REACH/own tools</w:t>
            </w:r>
          </w:p>
        </w:tc>
        <w:tc>
          <w:tcPr>
            <w:tcW w:w="1864" w:type="dxa"/>
          </w:tcPr>
          <w:p w:rsidR="0075632E" w:rsidRPr="0022117F" w:rsidRDefault="0075632E">
            <w:pPr>
              <w:rPr>
                <w:sz w:val="20"/>
              </w:rPr>
            </w:pPr>
            <w:r w:rsidRPr="0022117F">
              <w:rPr>
                <w:sz w:val="20"/>
              </w:rPr>
              <w:t>Protection</w:t>
            </w:r>
            <w:r w:rsidR="00CF0DCC" w:rsidRPr="0022117F">
              <w:rPr>
                <w:sz w:val="20"/>
              </w:rPr>
              <w:t xml:space="preserve"> </w:t>
            </w:r>
          </w:p>
        </w:tc>
        <w:tc>
          <w:tcPr>
            <w:tcW w:w="1777" w:type="dxa"/>
          </w:tcPr>
          <w:p w:rsidR="0075632E" w:rsidRPr="0022117F" w:rsidRDefault="0075632E">
            <w:pPr>
              <w:rPr>
                <w:sz w:val="20"/>
              </w:rPr>
            </w:pPr>
            <w:r w:rsidRPr="0022117F">
              <w:rPr>
                <w:sz w:val="20"/>
              </w:rPr>
              <w:t>Health and Nutrition</w:t>
            </w:r>
          </w:p>
        </w:tc>
        <w:tc>
          <w:tcPr>
            <w:tcW w:w="1777" w:type="dxa"/>
          </w:tcPr>
          <w:p w:rsidR="0075632E" w:rsidRPr="0022117F" w:rsidRDefault="0075632E">
            <w:pPr>
              <w:rPr>
                <w:sz w:val="20"/>
              </w:rPr>
            </w:pPr>
            <w:r w:rsidRPr="0022117F">
              <w:rPr>
                <w:sz w:val="20"/>
              </w:rPr>
              <w:t>Education</w:t>
            </w:r>
          </w:p>
        </w:tc>
        <w:tc>
          <w:tcPr>
            <w:tcW w:w="2142" w:type="dxa"/>
          </w:tcPr>
          <w:p w:rsidR="0075632E" w:rsidRPr="0022117F" w:rsidRDefault="0075632E">
            <w:pPr>
              <w:rPr>
                <w:sz w:val="20"/>
              </w:rPr>
            </w:pPr>
            <w:r w:rsidRPr="0022117F">
              <w:rPr>
                <w:sz w:val="20"/>
              </w:rPr>
              <w:t>WASH and S/NFI</w:t>
            </w:r>
          </w:p>
        </w:tc>
      </w:tr>
      <w:tr w:rsidR="0075632E" w:rsidTr="0022117F">
        <w:tc>
          <w:tcPr>
            <w:tcW w:w="2155" w:type="dxa"/>
            <w:shd w:val="clear" w:color="auto" w:fill="D5DCE4" w:themeFill="text2" w:themeFillTint="33"/>
          </w:tcPr>
          <w:p w:rsidR="0075632E" w:rsidRPr="0022117F" w:rsidRDefault="00CF0DCC">
            <w:pPr>
              <w:rPr>
                <w:b/>
                <w:sz w:val="20"/>
              </w:rPr>
            </w:pPr>
            <w:r w:rsidRPr="0022117F">
              <w:rPr>
                <w:b/>
                <w:sz w:val="20"/>
              </w:rPr>
              <w:t xml:space="preserve">Harmonizing sector strategies </w:t>
            </w:r>
          </w:p>
        </w:tc>
        <w:tc>
          <w:tcPr>
            <w:tcW w:w="1864" w:type="dxa"/>
          </w:tcPr>
          <w:p w:rsidR="0075632E" w:rsidRPr="0022117F" w:rsidRDefault="00CF0DCC">
            <w:pPr>
              <w:rPr>
                <w:sz w:val="20"/>
              </w:rPr>
            </w:pPr>
            <w:r w:rsidRPr="0022117F">
              <w:rPr>
                <w:sz w:val="20"/>
              </w:rPr>
              <w:t>Protection</w:t>
            </w:r>
          </w:p>
        </w:tc>
        <w:tc>
          <w:tcPr>
            <w:tcW w:w="1777" w:type="dxa"/>
          </w:tcPr>
          <w:p w:rsidR="0075632E" w:rsidRPr="0022117F" w:rsidRDefault="00CF0DCC">
            <w:pPr>
              <w:rPr>
                <w:sz w:val="20"/>
              </w:rPr>
            </w:pPr>
            <w:r w:rsidRPr="0022117F">
              <w:rPr>
                <w:sz w:val="20"/>
              </w:rPr>
              <w:t>Health and Nutrition</w:t>
            </w:r>
          </w:p>
        </w:tc>
        <w:tc>
          <w:tcPr>
            <w:tcW w:w="1777" w:type="dxa"/>
          </w:tcPr>
          <w:p w:rsidR="0075632E" w:rsidRPr="0022117F" w:rsidRDefault="00CF0DCC">
            <w:pPr>
              <w:rPr>
                <w:sz w:val="20"/>
              </w:rPr>
            </w:pPr>
            <w:r w:rsidRPr="0022117F">
              <w:rPr>
                <w:sz w:val="20"/>
              </w:rPr>
              <w:t>Education</w:t>
            </w:r>
          </w:p>
        </w:tc>
        <w:tc>
          <w:tcPr>
            <w:tcW w:w="2142" w:type="dxa"/>
          </w:tcPr>
          <w:p w:rsidR="0075632E" w:rsidRPr="0022117F" w:rsidRDefault="00CF0DCC">
            <w:pPr>
              <w:rPr>
                <w:sz w:val="20"/>
              </w:rPr>
            </w:pPr>
            <w:r w:rsidRPr="0022117F">
              <w:rPr>
                <w:sz w:val="20"/>
              </w:rPr>
              <w:t>WASH &amp; S/NFI</w:t>
            </w:r>
          </w:p>
        </w:tc>
      </w:tr>
      <w:tr w:rsidR="001708E5" w:rsidTr="0022117F">
        <w:tc>
          <w:tcPr>
            <w:tcW w:w="2155" w:type="dxa"/>
            <w:shd w:val="clear" w:color="auto" w:fill="D5DCE4" w:themeFill="text2" w:themeFillTint="33"/>
          </w:tcPr>
          <w:p w:rsidR="001708E5" w:rsidRPr="0022117F" w:rsidRDefault="001708E5">
            <w:pPr>
              <w:rPr>
                <w:b/>
                <w:sz w:val="20"/>
              </w:rPr>
            </w:pPr>
            <w:r w:rsidRPr="0022117F">
              <w:rPr>
                <w:b/>
                <w:sz w:val="20"/>
              </w:rPr>
              <w:t>Training</w:t>
            </w:r>
          </w:p>
        </w:tc>
        <w:tc>
          <w:tcPr>
            <w:tcW w:w="7560" w:type="dxa"/>
            <w:gridSpan w:val="4"/>
          </w:tcPr>
          <w:p w:rsidR="001708E5" w:rsidRPr="0022117F" w:rsidRDefault="001708E5" w:rsidP="001708E5">
            <w:pPr>
              <w:rPr>
                <w:sz w:val="20"/>
              </w:rPr>
            </w:pPr>
            <w:r w:rsidRPr="0022117F">
              <w:rPr>
                <w:sz w:val="20"/>
              </w:rPr>
              <w:t>DRC/NRC to facilitate training of multisector staff of ERRM partners on protection mainstreaming.</w:t>
            </w:r>
          </w:p>
        </w:tc>
      </w:tr>
      <w:tr w:rsidR="001708E5" w:rsidTr="0022117F">
        <w:tc>
          <w:tcPr>
            <w:tcW w:w="2155" w:type="dxa"/>
            <w:shd w:val="clear" w:color="auto" w:fill="D5DCE4" w:themeFill="text2" w:themeFillTint="33"/>
          </w:tcPr>
          <w:p w:rsidR="001708E5" w:rsidRPr="0022117F" w:rsidRDefault="006B1532">
            <w:pPr>
              <w:rPr>
                <w:b/>
                <w:sz w:val="20"/>
              </w:rPr>
            </w:pPr>
            <w:r w:rsidRPr="0022117F">
              <w:rPr>
                <w:b/>
                <w:sz w:val="20"/>
              </w:rPr>
              <w:t>Safety advisor</w:t>
            </w:r>
          </w:p>
        </w:tc>
        <w:tc>
          <w:tcPr>
            <w:tcW w:w="7560" w:type="dxa"/>
            <w:gridSpan w:val="4"/>
          </w:tcPr>
          <w:p w:rsidR="001708E5" w:rsidRPr="0022117F" w:rsidRDefault="001708E5" w:rsidP="006B1532">
            <w:pPr>
              <w:rPr>
                <w:sz w:val="20"/>
              </w:rPr>
            </w:pPr>
            <w:r w:rsidRPr="0022117F">
              <w:rPr>
                <w:sz w:val="20"/>
              </w:rPr>
              <w:t xml:space="preserve">Keep the ERRM safety advisor – with more engagement in 2020. Situation/context analysis for joint mission and also, upon request, for locations where ERRM partners have static presence and have frequent missions.  With the request of the partners, assist in developing standardized SOP for joint mission.  </w:t>
            </w:r>
          </w:p>
        </w:tc>
      </w:tr>
      <w:tr w:rsidR="006B1532" w:rsidTr="0022117F">
        <w:tc>
          <w:tcPr>
            <w:tcW w:w="2155" w:type="dxa"/>
            <w:shd w:val="clear" w:color="auto" w:fill="D5DCE4" w:themeFill="text2" w:themeFillTint="33"/>
          </w:tcPr>
          <w:p w:rsidR="006B1532" w:rsidRPr="0022117F" w:rsidRDefault="006B1532">
            <w:pPr>
              <w:rPr>
                <w:b/>
                <w:sz w:val="20"/>
              </w:rPr>
            </w:pPr>
            <w:r w:rsidRPr="0022117F">
              <w:rPr>
                <w:b/>
                <w:sz w:val="20"/>
              </w:rPr>
              <w:t>Advocacy</w:t>
            </w:r>
          </w:p>
        </w:tc>
        <w:tc>
          <w:tcPr>
            <w:tcW w:w="7560" w:type="dxa"/>
            <w:gridSpan w:val="4"/>
          </w:tcPr>
          <w:p w:rsidR="006B1532" w:rsidRPr="0022117F" w:rsidRDefault="006B1532" w:rsidP="00532152">
            <w:pPr>
              <w:rPr>
                <w:sz w:val="20"/>
              </w:rPr>
            </w:pPr>
            <w:r w:rsidRPr="0022117F">
              <w:rPr>
                <w:sz w:val="20"/>
              </w:rPr>
              <w:t>Concern raised with the business process of some of the clusters in speeding up the response. Advocacy is required to speed up the need analysis, approval and response.  Likewise, to take up to donors to understand the challenges of meeting deliverables. During the strategy development, each partner to look at the challenges on the assigned sectors above and propose advocacy areas (for cluster and/or donors).</w:t>
            </w:r>
          </w:p>
        </w:tc>
      </w:tr>
      <w:tr w:rsidR="006B1532" w:rsidTr="0022117F">
        <w:trPr>
          <w:trHeight w:val="854"/>
        </w:trPr>
        <w:tc>
          <w:tcPr>
            <w:tcW w:w="2155" w:type="dxa"/>
            <w:shd w:val="clear" w:color="auto" w:fill="D5DCE4" w:themeFill="text2" w:themeFillTint="33"/>
          </w:tcPr>
          <w:p w:rsidR="006B1532" w:rsidRPr="0022117F" w:rsidRDefault="00F72016">
            <w:pPr>
              <w:rPr>
                <w:b/>
                <w:sz w:val="20"/>
              </w:rPr>
            </w:pPr>
            <w:r w:rsidRPr="0022117F">
              <w:rPr>
                <w:b/>
                <w:sz w:val="20"/>
              </w:rPr>
              <w:t xml:space="preserve">Joint mission &amp; protection </w:t>
            </w:r>
          </w:p>
        </w:tc>
        <w:tc>
          <w:tcPr>
            <w:tcW w:w="7560" w:type="dxa"/>
            <w:gridSpan w:val="4"/>
          </w:tcPr>
          <w:p w:rsidR="006B1532" w:rsidRPr="007D6C67" w:rsidRDefault="006B1532" w:rsidP="007D6C67">
            <w:pPr>
              <w:pStyle w:val="ListParagraph"/>
              <w:numPr>
                <w:ilvl w:val="0"/>
                <w:numId w:val="3"/>
              </w:numPr>
              <w:rPr>
                <w:sz w:val="20"/>
              </w:rPr>
            </w:pPr>
            <w:r w:rsidRPr="007D6C67">
              <w:rPr>
                <w:sz w:val="20"/>
              </w:rPr>
              <w:t xml:space="preserve">ERRM partners look for the inclusion of protection in their respective assessment and response </w:t>
            </w:r>
            <w:bookmarkStart w:id="0" w:name="_GoBack"/>
            <w:bookmarkEnd w:id="0"/>
            <w:r w:rsidRPr="007D6C67">
              <w:rPr>
                <w:sz w:val="20"/>
              </w:rPr>
              <w:t xml:space="preserve">by taping the expertize of DRC.  </w:t>
            </w:r>
          </w:p>
          <w:p w:rsidR="006B1532" w:rsidRPr="007D6C67" w:rsidRDefault="00F72016" w:rsidP="007D6C67">
            <w:pPr>
              <w:pStyle w:val="ListParagraph"/>
              <w:numPr>
                <w:ilvl w:val="0"/>
                <w:numId w:val="3"/>
              </w:numPr>
              <w:rPr>
                <w:sz w:val="20"/>
              </w:rPr>
            </w:pPr>
            <w:r w:rsidRPr="007D6C67">
              <w:rPr>
                <w:sz w:val="20"/>
              </w:rPr>
              <w:t xml:space="preserve">Enhance joint mission for complementarity, cost effectiveness and </w:t>
            </w:r>
            <w:r w:rsidR="005A2BF2" w:rsidRPr="007D6C67">
              <w:rPr>
                <w:sz w:val="20"/>
              </w:rPr>
              <w:t>learning</w:t>
            </w:r>
            <w:r w:rsidR="00532152" w:rsidRPr="007D6C67">
              <w:rPr>
                <w:sz w:val="20"/>
              </w:rPr>
              <w:t>.</w:t>
            </w:r>
          </w:p>
        </w:tc>
      </w:tr>
      <w:tr w:rsidR="00667E9B" w:rsidTr="00667E9B">
        <w:trPr>
          <w:trHeight w:val="431"/>
        </w:trPr>
        <w:tc>
          <w:tcPr>
            <w:tcW w:w="2155" w:type="dxa"/>
            <w:shd w:val="clear" w:color="auto" w:fill="D5DCE4" w:themeFill="text2" w:themeFillTint="33"/>
          </w:tcPr>
          <w:p w:rsidR="00667E9B" w:rsidRPr="0022117F" w:rsidRDefault="00667E9B">
            <w:pPr>
              <w:rPr>
                <w:b/>
                <w:sz w:val="20"/>
              </w:rPr>
            </w:pPr>
            <w:r>
              <w:rPr>
                <w:b/>
                <w:sz w:val="20"/>
              </w:rPr>
              <w:t>AOB</w:t>
            </w:r>
          </w:p>
        </w:tc>
        <w:tc>
          <w:tcPr>
            <w:tcW w:w="7560" w:type="dxa"/>
            <w:gridSpan w:val="4"/>
          </w:tcPr>
          <w:p w:rsidR="00667E9B" w:rsidRPr="007D6C67" w:rsidRDefault="00A33346" w:rsidP="007D6C67">
            <w:pPr>
              <w:pStyle w:val="ListParagraph"/>
              <w:numPr>
                <w:ilvl w:val="0"/>
                <w:numId w:val="2"/>
              </w:numPr>
              <w:rPr>
                <w:sz w:val="20"/>
              </w:rPr>
            </w:pPr>
            <w:r w:rsidRPr="007D6C67">
              <w:rPr>
                <w:sz w:val="20"/>
              </w:rPr>
              <w:t>Look for psychosocial</w:t>
            </w:r>
            <w:r w:rsidR="00667E9B" w:rsidRPr="007D6C67">
              <w:rPr>
                <w:sz w:val="20"/>
              </w:rPr>
              <w:t xml:space="preserve"> support – DRC to link ERRM partners </w:t>
            </w:r>
            <w:r w:rsidRPr="007D6C67">
              <w:rPr>
                <w:sz w:val="20"/>
              </w:rPr>
              <w:t>with HI.</w:t>
            </w:r>
          </w:p>
          <w:p w:rsidR="00855746" w:rsidRPr="007D6C67" w:rsidRDefault="00855746" w:rsidP="007D6C67">
            <w:pPr>
              <w:pStyle w:val="ListParagraph"/>
              <w:numPr>
                <w:ilvl w:val="0"/>
                <w:numId w:val="2"/>
              </w:numPr>
              <w:rPr>
                <w:sz w:val="20"/>
              </w:rPr>
            </w:pPr>
            <w:r w:rsidRPr="007D6C67">
              <w:rPr>
                <w:sz w:val="20"/>
              </w:rPr>
              <w:t>Next ERRM meeting proposed for mid-January 2020</w:t>
            </w:r>
            <w:r w:rsidR="007D6C67">
              <w:rPr>
                <w:sz w:val="20"/>
              </w:rPr>
              <w:t xml:space="preserve"> and can also be called earlier when requested by members.</w:t>
            </w:r>
          </w:p>
        </w:tc>
      </w:tr>
    </w:tbl>
    <w:p w:rsidR="00C91376" w:rsidRDefault="00C91376"/>
    <w:sectPr w:rsidR="00C913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2F009F"/>
    <w:multiLevelType w:val="hybridMultilevel"/>
    <w:tmpl w:val="9216C3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6482363"/>
    <w:multiLevelType w:val="hybridMultilevel"/>
    <w:tmpl w:val="A4828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7473347"/>
    <w:multiLevelType w:val="hybridMultilevel"/>
    <w:tmpl w:val="C5E222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376"/>
    <w:rsid w:val="00051AC1"/>
    <w:rsid w:val="000E5458"/>
    <w:rsid w:val="000F583D"/>
    <w:rsid w:val="001708E5"/>
    <w:rsid w:val="001A491F"/>
    <w:rsid w:val="002074AD"/>
    <w:rsid w:val="0022117F"/>
    <w:rsid w:val="002537A4"/>
    <w:rsid w:val="002A6B05"/>
    <w:rsid w:val="002B4DF4"/>
    <w:rsid w:val="002C7767"/>
    <w:rsid w:val="002D2A1D"/>
    <w:rsid w:val="004148F3"/>
    <w:rsid w:val="00435530"/>
    <w:rsid w:val="004B5A53"/>
    <w:rsid w:val="004D3C79"/>
    <w:rsid w:val="00532152"/>
    <w:rsid w:val="00574EFA"/>
    <w:rsid w:val="005A2BF2"/>
    <w:rsid w:val="00601C7D"/>
    <w:rsid w:val="00657550"/>
    <w:rsid w:val="00667E9B"/>
    <w:rsid w:val="006B1532"/>
    <w:rsid w:val="006C571E"/>
    <w:rsid w:val="006F50C5"/>
    <w:rsid w:val="00721885"/>
    <w:rsid w:val="0075632E"/>
    <w:rsid w:val="00764BCA"/>
    <w:rsid w:val="007D4DE4"/>
    <w:rsid w:val="007D6C67"/>
    <w:rsid w:val="00815565"/>
    <w:rsid w:val="0083785D"/>
    <w:rsid w:val="00855746"/>
    <w:rsid w:val="008740C3"/>
    <w:rsid w:val="00885F9A"/>
    <w:rsid w:val="00970F32"/>
    <w:rsid w:val="00A33346"/>
    <w:rsid w:val="00A66038"/>
    <w:rsid w:val="00AA6705"/>
    <w:rsid w:val="00B05817"/>
    <w:rsid w:val="00B82767"/>
    <w:rsid w:val="00B87C87"/>
    <w:rsid w:val="00C91376"/>
    <w:rsid w:val="00CF0DCC"/>
    <w:rsid w:val="00D745CE"/>
    <w:rsid w:val="00DA74B3"/>
    <w:rsid w:val="00E563EB"/>
    <w:rsid w:val="00E9120E"/>
    <w:rsid w:val="00EA4B93"/>
    <w:rsid w:val="00EF1EED"/>
    <w:rsid w:val="00F00D25"/>
    <w:rsid w:val="00F50B57"/>
    <w:rsid w:val="00F72016"/>
    <w:rsid w:val="00F93C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EF7D3"/>
  <w15:chartTrackingRefBased/>
  <w15:docId w15:val="{F2BBC251-4A94-420F-A05C-D85BD2732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537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74E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TotalTime>
  <Pages>1</Pages>
  <Words>285</Words>
  <Characters>1631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Demmelash Adera</dc:creator>
  <cp:keywords/>
  <dc:description/>
  <cp:lastModifiedBy>Demmelash Adera</cp:lastModifiedBy>
  <cp:revision>9</cp:revision>
  <dcterms:created xsi:type="dcterms:W3CDTF">2019-11-29T11:59:00Z</dcterms:created>
  <dcterms:modified xsi:type="dcterms:W3CDTF">2019-12-02T13:10:00Z</dcterms:modified>
</cp:coreProperties>
</file>