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1" w:rsidRPr="00445DFB" w:rsidRDefault="004A6F72" w:rsidP="00FD7788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Resilience Network </w:t>
      </w:r>
      <w:r w:rsidR="00445DFB"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Steering Committee </w:t>
      </w:r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>Meeting</w:t>
      </w:r>
    </w:p>
    <w:p w:rsidR="004A6F72" w:rsidRPr="004D7E25" w:rsidRDefault="004A6F72" w:rsidP="00FD778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A6F72" w:rsidRPr="004D7E25" w:rsidRDefault="00555081" w:rsidP="00FD77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D7E25">
        <w:rPr>
          <w:rFonts w:ascii="Arial" w:hAnsi="Arial" w:cs="Arial"/>
          <w:b/>
          <w:sz w:val="20"/>
          <w:szCs w:val="20"/>
        </w:rPr>
        <w:t>Date:</w:t>
      </w:r>
      <w:r w:rsidRPr="004D7E25">
        <w:rPr>
          <w:rFonts w:ascii="Arial" w:hAnsi="Arial" w:cs="Arial"/>
          <w:sz w:val="20"/>
          <w:szCs w:val="20"/>
        </w:rPr>
        <w:tab/>
      </w:r>
      <w:r w:rsidRPr="004D7E25">
        <w:rPr>
          <w:rFonts w:ascii="Arial" w:hAnsi="Arial" w:cs="Arial"/>
          <w:sz w:val="20"/>
          <w:szCs w:val="20"/>
        </w:rPr>
        <w:tab/>
      </w:r>
      <w:r w:rsidRPr="004D7E25">
        <w:rPr>
          <w:rFonts w:ascii="Arial" w:hAnsi="Arial" w:cs="Arial"/>
          <w:sz w:val="20"/>
          <w:szCs w:val="20"/>
        </w:rPr>
        <w:tab/>
      </w:r>
      <w:r w:rsidR="00445DFB" w:rsidRPr="004D7E25">
        <w:rPr>
          <w:rFonts w:ascii="Arial" w:hAnsi="Arial" w:cs="Arial"/>
          <w:sz w:val="20"/>
          <w:szCs w:val="20"/>
          <w:lang w:val="en-US"/>
        </w:rPr>
        <w:t>Fri</w:t>
      </w:r>
      <w:r w:rsidR="004D7E25" w:rsidRPr="004D7E25">
        <w:rPr>
          <w:rFonts w:ascii="Arial" w:hAnsi="Arial" w:cs="Arial"/>
          <w:sz w:val="20"/>
          <w:szCs w:val="20"/>
          <w:lang w:val="en-US"/>
        </w:rPr>
        <w:t>day, 9</w:t>
      </w:r>
      <w:r w:rsidR="004A6F72" w:rsidRPr="004D7E25">
        <w:rPr>
          <w:rFonts w:ascii="Arial" w:hAnsi="Arial" w:cs="Arial"/>
          <w:sz w:val="20"/>
          <w:szCs w:val="20"/>
          <w:lang w:val="en-US"/>
        </w:rPr>
        <w:t xml:space="preserve"> </w:t>
      </w:r>
      <w:r w:rsidR="00445DFB" w:rsidRPr="004D7E25">
        <w:rPr>
          <w:rFonts w:ascii="Arial" w:hAnsi="Arial" w:cs="Arial"/>
          <w:sz w:val="20"/>
          <w:szCs w:val="20"/>
          <w:lang w:val="en-US"/>
        </w:rPr>
        <w:t>March 2018</w:t>
      </w:r>
    </w:p>
    <w:p w:rsidR="004A6F72" w:rsidRPr="004D7E25" w:rsidRDefault="004A6F72" w:rsidP="00FD77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D7E25">
        <w:rPr>
          <w:rFonts w:ascii="Arial" w:hAnsi="Arial" w:cs="Arial"/>
          <w:b/>
          <w:sz w:val="20"/>
          <w:szCs w:val="20"/>
          <w:lang w:val="en-US"/>
        </w:rPr>
        <w:t>Venue:</w:t>
      </w:r>
      <w:r w:rsidR="00445DFB" w:rsidRPr="004D7E25">
        <w:rPr>
          <w:rFonts w:ascii="Arial" w:hAnsi="Arial" w:cs="Arial"/>
          <w:sz w:val="20"/>
          <w:szCs w:val="20"/>
          <w:lang w:val="en-US"/>
        </w:rPr>
        <w:tab/>
      </w:r>
      <w:r w:rsidR="00445DFB" w:rsidRPr="004D7E25">
        <w:rPr>
          <w:rFonts w:ascii="Arial" w:hAnsi="Arial" w:cs="Arial"/>
          <w:sz w:val="20"/>
          <w:szCs w:val="20"/>
          <w:lang w:val="en-US"/>
        </w:rPr>
        <w:tab/>
      </w:r>
      <w:r w:rsidR="004D7E25">
        <w:rPr>
          <w:rFonts w:ascii="Arial" w:hAnsi="Arial" w:cs="Arial"/>
          <w:sz w:val="20"/>
          <w:szCs w:val="20"/>
          <w:lang w:val="en-US"/>
        </w:rPr>
        <w:tab/>
        <w:t>NGO Forum</w:t>
      </w:r>
    </w:p>
    <w:p w:rsidR="00555081" w:rsidRPr="004D7E25" w:rsidRDefault="004A6F72" w:rsidP="00FD7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b/>
          <w:sz w:val="20"/>
          <w:szCs w:val="20"/>
          <w:lang w:val="en-US"/>
        </w:rPr>
        <w:t>Time:</w:t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4D7E25" w:rsidRPr="004D7E25">
        <w:rPr>
          <w:rFonts w:ascii="Arial" w:hAnsi="Arial" w:cs="Arial"/>
          <w:sz w:val="20"/>
          <w:szCs w:val="20"/>
          <w:lang w:val="en-US"/>
        </w:rPr>
        <w:t>09h00 - 09.5</w:t>
      </w:r>
      <w:r w:rsidR="00445DFB" w:rsidRPr="004D7E25">
        <w:rPr>
          <w:rFonts w:ascii="Arial" w:hAnsi="Arial" w:cs="Arial"/>
          <w:sz w:val="20"/>
          <w:szCs w:val="20"/>
          <w:lang w:val="en-US"/>
        </w:rPr>
        <w:t>0</w:t>
      </w:r>
      <w:r w:rsidRPr="004D7E25">
        <w:rPr>
          <w:rFonts w:ascii="Arial" w:hAnsi="Arial" w:cs="Arial"/>
          <w:sz w:val="20"/>
          <w:szCs w:val="20"/>
          <w:lang w:val="en-US"/>
        </w:rPr>
        <w:t>pm</w:t>
      </w:r>
    </w:p>
    <w:p w:rsidR="00555081" w:rsidRPr="00445DFB" w:rsidRDefault="00555081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5081" w:rsidRPr="004D7E25" w:rsidRDefault="005609D7" w:rsidP="004D7E25">
      <w:pPr>
        <w:pStyle w:val="Heading1"/>
      </w:pPr>
      <w:r w:rsidRPr="004D7E25">
        <w:t>Present: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2836"/>
        <w:gridCol w:w="3633"/>
      </w:tblGrid>
      <w:tr w:rsidR="00445DFB" w:rsidRPr="004D7E25" w:rsidTr="004D7E25">
        <w:trPr>
          <w:trHeight w:val="30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Name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Organisation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Position</w:t>
            </w:r>
          </w:p>
        </w:tc>
      </w:tr>
      <w:tr w:rsidR="00445DFB" w:rsidRPr="004D7E25" w:rsidTr="004D7E25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Semalegn Belay Abdissa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Goal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Recover Project Director</w:t>
            </w:r>
          </w:p>
        </w:tc>
      </w:tr>
      <w:tr w:rsidR="00445DFB" w:rsidRPr="004D7E25" w:rsidTr="004D7E25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Girma Yadete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CRS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Project Director CRS Livelihoods Program</w:t>
            </w:r>
            <w:r w:rsid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me</w:t>
            </w:r>
          </w:p>
        </w:tc>
      </w:tr>
      <w:tr w:rsidR="00445DFB" w:rsidRPr="004D7E25" w:rsidTr="004D7E25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Eschete Gezahegn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Save the Children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FSL Advisor</w:t>
            </w:r>
          </w:p>
        </w:tc>
      </w:tr>
      <w:tr w:rsidR="00445DFB" w:rsidRPr="004D7E25" w:rsidTr="004D7E25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Nellie Kingston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Concern Worldwide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BRACED Director</w:t>
            </w:r>
          </w:p>
        </w:tc>
      </w:tr>
      <w:tr w:rsidR="00445DFB" w:rsidRPr="004D7E25" w:rsidTr="004D7E25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Timothy Kasimolo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South Sudan Grassroots Initiative for Development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D7E25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D7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Programme Coordinator</w:t>
            </w:r>
          </w:p>
        </w:tc>
      </w:tr>
    </w:tbl>
    <w:p w:rsidR="00555081" w:rsidRPr="00445DFB" w:rsidRDefault="00555081" w:rsidP="00FD7788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D7788" w:rsidRPr="004D7E25" w:rsidRDefault="00FD7788" w:rsidP="004D7E25">
      <w:pPr>
        <w:pStyle w:val="Heading1"/>
      </w:pPr>
      <w:r w:rsidRPr="004D7E25">
        <w:t>Attachments</w:t>
      </w:r>
    </w:p>
    <w:p w:rsidR="004A6F72" w:rsidRPr="004D7E25" w:rsidRDefault="004D7E25" w:rsidP="0054754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4D7E25">
        <w:rPr>
          <w:rFonts w:ascii="Arial" w:hAnsi="Arial" w:cs="Arial"/>
          <w:sz w:val="20"/>
          <w:szCs w:val="20"/>
        </w:rPr>
        <w:t xml:space="preserve">Final </w:t>
      </w:r>
      <w:r w:rsidR="004A6F72" w:rsidRPr="004D7E25">
        <w:rPr>
          <w:rFonts w:ascii="Arial" w:hAnsi="Arial" w:cs="Arial"/>
          <w:sz w:val="20"/>
          <w:szCs w:val="20"/>
        </w:rPr>
        <w:t>terms or reference of South Sudan Resilience Network</w:t>
      </w:r>
      <w:r w:rsidR="00445DFB" w:rsidRPr="004D7E25">
        <w:rPr>
          <w:rFonts w:ascii="Arial" w:hAnsi="Arial" w:cs="Arial"/>
          <w:sz w:val="20"/>
          <w:szCs w:val="20"/>
        </w:rPr>
        <w:t xml:space="preserve"> </w:t>
      </w:r>
    </w:p>
    <w:p w:rsidR="00FD7788" w:rsidRPr="004D7E25" w:rsidRDefault="00FD7788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788" w:rsidRPr="00445DFB" w:rsidRDefault="00FD7788" w:rsidP="004D7E25">
      <w:pPr>
        <w:pStyle w:val="Heading1"/>
      </w:pPr>
      <w:r w:rsidRPr="00445DFB">
        <w:t>Overview</w:t>
      </w:r>
      <w:r w:rsidR="009D5BF3" w:rsidRPr="00445DFB">
        <w:t xml:space="preserve"> and Agenda</w:t>
      </w:r>
    </w:p>
    <w:p w:rsidR="004A6F72" w:rsidRPr="004D7E25" w:rsidRDefault="009D5BF3" w:rsidP="00FD7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The main agenda items were as follows:</w:t>
      </w:r>
    </w:p>
    <w:p w:rsidR="004D7E25" w:rsidRPr="004D7E25" w:rsidRDefault="004D7E25" w:rsidP="009D5BF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4D7E25">
        <w:rPr>
          <w:rFonts w:ascii="Arial" w:hAnsi="Arial" w:cs="Arial"/>
          <w:sz w:val="20"/>
          <w:szCs w:val="20"/>
          <w:lang w:val="en-GB"/>
        </w:rPr>
        <w:t>Updates</w:t>
      </w:r>
    </w:p>
    <w:p w:rsidR="0013319E" w:rsidRPr="004D7E25" w:rsidRDefault="004D7E25" w:rsidP="009D5BF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4D7E25">
        <w:rPr>
          <w:rFonts w:ascii="Arial" w:hAnsi="Arial" w:cs="Arial"/>
          <w:sz w:val="20"/>
          <w:szCs w:val="20"/>
          <w:lang w:val="en-GB"/>
        </w:rPr>
        <w:t xml:space="preserve">Finalisation of </w:t>
      </w:r>
      <w:r w:rsidR="00111774" w:rsidRPr="004D7E25">
        <w:rPr>
          <w:rFonts w:ascii="Arial" w:hAnsi="Arial" w:cs="Arial"/>
          <w:sz w:val="20"/>
          <w:szCs w:val="20"/>
          <w:lang w:val="en-GB"/>
        </w:rPr>
        <w:t>terms of reference for the Resilience Exchange Network</w:t>
      </w:r>
      <w:r w:rsidR="00445DFB" w:rsidRPr="004D7E25">
        <w:rPr>
          <w:rFonts w:ascii="Arial" w:hAnsi="Arial" w:cs="Arial"/>
          <w:sz w:val="20"/>
          <w:szCs w:val="20"/>
          <w:lang w:val="en-GB"/>
        </w:rPr>
        <w:t>.</w:t>
      </w:r>
      <w:r w:rsidR="00111774" w:rsidRPr="004D7E2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3319E" w:rsidRPr="004D7E25" w:rsidRDefault="00111774" w:rsidP="009D5BF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4D7E25">
        <w:rPr>
          <w:rFonts w:ascii="Arial" w:hAnsi="Arial" w:cs="Arial"/>
          <w:sz w:val="20"/>
          <w:szCs w:val="20"/>
          <w:lang w:val="en-GB"/>
        </w:rPr>
        <w:t xml:space="preserve">Proposal for </w:t>
      </w:r>
      <w:r w:rsidR="004D7E25" w:rsidRPr="004D7E25">
        <w:rPr>
          <w:rFonts w:ascii="Arial" w:hAnsi="Arial" w:cs="Arial"/>
          <w:sz w:val="20"/>
          <w:szCs w:val="20"/>
          <w:lang w:val="en-GB"/>
        </w:rPr>
        <w:t>launch event</w:t>
      </w:r>
      <w:r w:rsidR="00445DFB" w:rsidRPr="004D7E25">
        <w:rPr>
          <w:rFonts w:ascii="Arial" w:hAnsi="Arial" w:cs="Arial"/>
          <w:sz w:val="20"/>
          <w:szCs w:val="20"/>
          <w:lang w:val="en-GB"/>
        </w:rPr>
        <w:t>.</w:t>
      </w:r>
    </w:p>
    <w:p w:rsidR="004A6F72" w:rsidRPr="004D7E25" w:rsidRDefault="004A6F72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9D7" w:rsidRPr="00445DFB" w:rsidRDefault="00FD7788" w:rsidP="004D7E25">
      <w:pPr>
        <w:pStyle w:val="Heading1"/>
      </w:pPr>
      <w:r w:rsidRPr="00445DFB">
        <w:t>K</w:t>
      </w:r>
      <w:r w:rsidR="005609D7" w:rsidRPr="00445DFB">
        <w:t xml:space="preserve">ey points </w:t>
      </w:r>
      <w:r w:rsidRPr="00445DFB">
        <w:t>generated</w:t>
      </w:r>
      <w:r w:rsidR="005609D7" w:rsidRPr="00445DFB">
        <w:t xml:space="preserve"> </w:t>
      </w:r>
      <w:r w:rsidRPr="00445DFB">
        <w:t xml:space="preserve">from </w:t>
      </w:r>
      <w:r w:rsidR="004A6F72" w:rsidRPr="00445DFB">
        <w:t>the meeting</w:t>
      </w:r>
    </w:p>
    <w:p w:rsidR="00FD7788" w:rsidRPr="004D7E25" w:rsidRDefault="004D7E25" w:rsidP="004D7E25">
      <w:pPr>
        <w:pStyle w:val="Heading2"/>
      </w:pPr>
      <w:r w:rsidRPr="004D7E25">
        <w:t xml:space="preserve">Updates 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Updates were provided by the Chair on a meeting with Global Affairs Canada, who were interested in discussing the purpose of the Resilience Exchange Network and how a wider group of stakeholders could engage with this group.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An update was also provided on a meeting with the NGO Forum Coordinator to discuss the use of the website as a portal for the network to centralise information for sharing among network members.</w:t>
      </w:r>
    </w:p>
    <w:p w:rsidR="004D7E25" w:rsidRPr="004D7E25" w:rsidRDefault="004D7E25" w:rsidP="004D7E25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D5BF3" w:rsidRPr="004D7E25" w:rsidRDefault="004D7E25" w:rsidP="004D7E25">
      <w:pPr>
        <w:pStyle w:val="Heading2"/>
      </w:pPr>
      <w:r w:rsidRPr="004D7E25">
        <w:t xml:space="preserve">Finalisation of </w:t>
      </w:r>
      <w:r w:rsidR="009D5BF3" w:rsidRPr="00445DFB">
        <w:t xml:space="preserve">terms of reference for the Resilience Exchange Network 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D7E25">
        <w:rPr>
          <w:rFonts w:ascii="Arial" w:hAnsi="Arial" w:cs="Arial"/>
          <w:sz w:val="20"/>
          <w:szCs w:val="20"/>
        </w:rPr>
        <w:t xml:space="preserve">The terms of referenced were discussed.  A change was made to the footnote for additional clarity.  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D7E25">
        <w:rPr>
          <w:rFonts w:ascii="Arial" w:hAnsi="Arial" w:cs="Arial"/>
          <w:sz w:val="20"/>
          <w:szCs w:val="20"/>
        </w:rPr>
        <w:t>The ToR are to be circulated for feedback through the NGO Forum channels.</w:t>
      </w:r>
    </w:p>
    <w:p w:rsidR="009D5BF3" w:rsidRPr="004D7E25" w:rsidRDefault="009D5BF3" w:rsidP="009D5BF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:rsidR="004D7E25" w:rsidRPr="004D7E25" w:rsidRDefault="009D5BF3" w:rsidP="004D7E25">
      <w:pPr>
        <w:pStyle w:val="Heading2"/>
      </w:pPr>
      <w:r w:rsidRPr="00445DFB">
        <w:t xml:space="preserve">Proposal for </w:t>
      </w:r>
      <w:r w:rsidR="004D7E25" w:rsidRPr="004D7E25">
        <w:t>launch event</w:t>
      </w:r>
    </w:p>
    <w:p w:rsidR="004D7E25" w:rsidRPr="004D7E25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BRACED South Sudan w</w:t>
      </w:r>
      <w:r w:rsidR="004D7E25" w:rsidRPr="004D7E25">
        <w:rPr>
          <w:rFonts w:ascii="Arial" w:hAnsi="Arial" w:cs="Arial"/>
          <w:sz w:val="20"/>
          <w:szCs w:val="20"/>
        </w:rPr>
        <w:t>ill</w:t>
      </w:r>
      <w:r w:rsidRPr="004D7E25">
        <w:rPr>
          <w:rFonts w:ascii="Arial" w:hAnsi="Arial" w:cs="Arial"/>
          <w:sz w:val="20"/>
          <w:szCs w:val="20"/>
        </w:rPr>
        <w:t xml:space="preserve"> be pleased to host a</w:t>
      </w:r>
      <w:r w:rsidR="004D7E25" w:rsidRPr="004D7E25">
        <w:rPr>
          <w:rFonts w:ascii="Arial" w:hAnsi="Arial" w:cs="Arial"/>
          <w:sz w:val="20"/>
          <w:szCs w:val="20"/>
        </w:rPr>
        <w:t>n</w:t>
      </w:r>
      <w:r w:rsidRPr="004D7E25">
        <w:rPr>
          <w:rFonts w:ascii="Arial" w:hAnsi="Arial" w:cs="Arial"/>
          <w:sz w:val="20"/>
          <w:szCs w:val="20"/>
        </w:rPr>
        <w:t xml:space="preserve"> event for NGOs to launch the Resilience Exchange Network </w:t>
      </w:r>
      <w:r w:rsidR="004D7E25" w:rsidRPr="004D7E25">
        <w:rPr>
          <w:rFonts w:ascii="Arial" w:hAnsi="Arial" w:cs="Arial"/>
          <w:sz w:val="20"/>
          <w:szCs w:val="20"/>
        </w:rPr>
        <w:t xml:space="preserve">at the NGO Forum Meeting room between 09:00am and 12:00pm </w:t>
      </w:r>
      <w:r w:rsidRPr="004D7E25">
        <w:rPr>
          <w:rFonts w:ascii="Arial" w:hAnsi="Arial" w:cs="Arial"/>
          <w:sz w:val="20"/>
          <w:szCs w:val="20"/>
        </w:rPr>
        <w:t xml:space="preserve">on </w:t>
      </w:r>
      <w:r w:rsidRPr="004D7E25">
        <w:rPr>
          <w:rFonts w:ascii="Arial" w:hAnsi="Arial" w:cs="Arial"/>
          <w:b/>
          <w:sz w:val="20"/>
          <w:szCs w:val="20"/>
          <w:u w:val="single"/>
        </w:rPr>
        <w:t>27 March, 2018</w:t>
      </w:r>
      <w:r w:rsidRPr="004D7E25">
        <w:rPr>
          <w:rFonts w:ascii="Arial" w:hAnsi="Arial" w:cs="Arial"/>
          <w:sz w:val="20"/>
          <w:szCs w:val="20"/>
        </w:rPr>
        <w:t xml:space="preserve">.  </w:t>
      </w:r>
    </w:p>
    <w:p w:rsidR="00445DFB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 xml:space="preserve">A proposed agenda is provided below and further clarification of the agenda will continue over the coming week.  </w:t>
      </w:r>
    </w:p>
    <w:p w:rsidR="004D7E25" w:rsidRPr="004D7E25" w:rsidRDefault="004D7E25" w:rsidP="004D7E25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9"/>
        <w:gridCol w:w="3260"/>
        <w:gridCol w:w="1507"/>
      </w:tblGrid>
      <w:tr w:rsidR="004D7E25" w:rsidRPr="004D7E25" w:rsidTr="004D7E25">
        <w:tc>
          <w:tcPr>
            <w:tcW w:w="2356" w:type="pct"/>
            <w:shd w:val="clear" w:color="auto" w:fill="00B050"/>
          </w:tcPr>
          <w:p w:rsidR="004D7E25" w:rsidRPr="004D7E25" w:rsidRDefault="004D7E25" w:rsidP="004D7E2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7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08" w:type="pct"/>
            <w:shd w:val="clear" w:color="auto" w:fill="00B050"/>
          </w:tcPr>
          <w:p w:rsidR="004D7E25" w:rsidRPr="004D7E25" w:rsidRDefault="004D7E25" w:rsidP="004D7E2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7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836" w:type="pct"/>
            <w:shd w:val="clear" w:color="auto" w:fill="00B050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7E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 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Arrival and Registration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Steering Committee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08:30 – 08:55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Welcome address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Concern Worldwide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09:00 – 09:1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Terms of reference for the Resilience Exchange Network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Goal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09:10</w:t>
            </w:r>
            <w:r w:rsidRPr="004D7E25">
              <w:rPr>
                <w:rFonts w:ascii="Arial" w:hAnsi="Arial" w:cs="Arial"/>
                <w:sz w:val="20"/>
                <w:szCs w:val="20"/>
              </w:rPr>
              <w:t xml:space="preserve"> – 09: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7E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lastRenderedPageBreak/>
              <w:t>NGO presentations on resilience programming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SC to invite two presentations from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(2 x 10 minute presentations; 10 minute Q&amp;A)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7E25">
              <w:rPr>
                <w:rFonts w:ascii="Arial" w:hAnsi="Arial" w:cs="Arial"/>
                <w:sz w:val="20"/>
                <w:szCs w:val="20"/>
              </w:rPr>
              <w:t>0 – 10:1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7E25" w:rsidRPr="004D7E25" w:rsidTr="004D7E25">
        <w:tc>
          <w:tcPr>
            <w:tcW w:w="2356" w:type="pct"/>
            <w:shd w:val="clear" w:color="auto" w:fill="C5E0B3" w:themeFill="accent6" w:themeFillTint="66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808" w:type="pct"/>
            <w:shd w:val="clear" w:color="auto" w:fill="C5E0B3" w:themeFill="accent6" w:themeFillTint="66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C5E0B3" w:themeFill="accent6" w:themeFillTint="66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D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D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4D7E25" w:rsidRPr="004D7E25" w:rsidTr="004D7E25">
        <w:trPr>
          <w:trHeight w:val="163"/>
        </w:trPr>
        <w:tc>
          <w:tcPr>
            <w:tcW w:w="2356" w:type="pct"/>
            <w:vMerge w:val="restar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Topical Presentations:</w:t>
            </w:r>
          </w:p>
          <w:p w:rsidR="004D7E25" w:rsidRPr="004D7E25" w:rsidRDefault="004D7E25" w:rsidP="004D7E25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EU mapping initiative</w:t>
            </w:r>
          </w:p>
          <w:p w:rsidR="004D7E25" w:rsidRPr="004D7E25" w:rsidRDefault="004D7E25" w:rsidP="004D7E25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Meteorology Strategy in South Sudan (overview of processes)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</w:t>
            </w:r>
            <w:r w:rsidRPr="004D7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25" w:rsidRPr="004D7E25" w:rsidTr="004D7E25">
        <w:tc>
          <w:tcPr>
            <w:tcW w:w="2356" w:type="pct"/>
            <w:vMerge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4D7E25" w:rsidRPr="004D7E25" w:rsidRDefault="004D7E25" w:rsidP="004D7E25">
            <w:pPr>
              <w:pStyle w:val="ListParagraph"/>
              <w:numPr>
                <w:ilvl w:val="0"/>
                <w:numId w:val="19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Gennaro Volpe (by Agri-consulting Europe S.A)</w:t>
            </w:r>
            <w:r>
              <w:rPr>
                <w:rFonts w:ascii="Arial" w:hAnsi="Arial" w:cs="Arial"/>
                <w:sz w:val="20"/>
                <w:szCs w:val="20"/>
              </w:rPr>
              <w:t xml:space="preserve"> (10-minute presentation; 10 minute Q&amp;A)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10:50</w:t>
            </w:r>
          </w:p>
        </w:tc>
      </w:tr>
      <w:tr w:rsidR="004D7E25" w:rsidRPr="004D7E25" w:rsidTr="004D7E25">
        <w:tc>
          <w:tcPr>
            <w:tcW w:w="2356" w:type="pct"/>
            <w:vMerge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4D7E25" w:rsidRPr="004D7E25" w:rsidRDefault="004D7E25" w:rsidP="004D7E25">
            <w:pPr>
              <w:pStyle w:val="ListParagraph"/>
              <w:numPr>
                <w:ilvl w:val="0"/>
                <w:numId w:val="19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Martin Dramani (UNEP)</w:t>
            </w:r>
            <w:r>
              <w:rPr>
                <w:rFonts w:ascii="Arial" w:hAnsi="Arial" w:cs="Arial"/>
                <w:sz w:val="20"/>
                <w:szCs w:val="20"/>
              </w:rPr>
              <w:t xml:space="preserve"> (10-minute presentation; 10 minute Q&amp;A)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– 11:10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Donor perspective on coordination on resilience agenda in South Sudan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 (10-minute presentation; 10 minute Q&amp;A)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– 11:30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4D7E25">
              <w:rPr>
                <w:rFonts w:ascii="Arial" w:hAnsi="Arial" w:cs="Arial"/>
                <w:sz w:val="20"/>
                <w:szCs w:val="20"/>
              </w:rPr>
              <w:t>UN perspective on coordination on resilience</w:t>
            </w:r>
          </w:p>
        </w:tc>
        <w:tc>
          <w:tcPr>
            <w:tcW w:w="1808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 (10-minute presentation; 10 minute Q&amp;A)</w:t>
            </w:r>
          </w:p>
        </w:tc>
        <w:tc>
          <w:tcPr>
            <w:tcW w:w="836" w:type="pct"/>
          </w:tcPr>
          <w:p w:rsidR="004D7E25" w:rsidRP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11:50</w:t>
            </w:r>
          </w:p>
        </w:tc>
      </w:tr>
      <w:tr w:rsidR="004D7E25" w:rsidRPr="004D7E25" w:rsidTr="004D7E25">
        <w:tc>
          <w:tcPr>
            <w:tcW w:w="2356" w:type="pct"/>
          </w:tcPr>
          <w:p w:rsidR="004D7E25" w:rsidRP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session</w:t>
            </w:r>
          </w:p>
        </w:tc>
        <w:tc>
          <w:tcPr>
            <w:tcW w:w="1808" w:type="pct"/>
          </w:tcPr>
          <w:p w:rsidR="004D7E25" w:rsidRDefault="004D7E25" w:rsidP="004D7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4D7E25" w:rsidRDefault="004D7E25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 – 12:00</w:t>
            </w:r>
          </w:p>
        </w:tc>
      </w:tr>
    </w:tbl>
    <w:p w:rsidR="004D7E25" w:rsidRPr="004D7E25" w:rsidRDefault="004D7E25" w:rsidP="004D7E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5BF3" w:rsidRDefault="004D7E25" w:rsidP="004D7E25">
      <w:pPr>
        <w:pStyle w:val="Heading2"/>
      </w:pPr>
      <w:r>
        <w:t>Logistics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Refreshments</w:t>
      </w:r>
      <w:r>
        <w:rPr>
          <w:rFonts w:ascii="Arial" w:hAnsi="Arial" w:cs="Arial"/>
          <w:sz w:val="20"/>
          <w:szCs w:val="20"/>
        </w:rPr>
        <w:t>, invitations, agenda finalisation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Blank banner for suggestions for events: e.g. presentation on Sudd Institute/ACTED research</w:t>
      </w:r>
      <w:r>
        <w:rPr>
          <w:rFonts w:ascii="Arial" w:hAnsi="Arial" w:cs="Arial"/>
          <w:sz w:val="20"/>
          <w:szCs w:val="20"/>
        </w:rPr>
        <w:t>??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 xml:space="preserve">Clarify participants, number 60?; 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Contact presenters</w:t>
      </w:r>
      <w:r w:rsidR="008C3CBE">
        <w:rPr>
          <w:rFonts w:ascii="Arial" w:hAnsi="Arial" w:cs="Arial"/>
          <w:sz w:val="20"/>
          <w:szCs w:val="20"/>
        </w:rPr>
        <w:t>, presenter groups.</w:t>
      </w:r>
      <w:bookmarkStart w:id="0" w:name="_GoBack"/>
      <w:bookmarkEnd w:id="0"/>
    </w:p>
    <w:p w:rsidR="004D7E25" w:rsidRPr="004D7E25" w:rsidRDefault="004D7E25" w:rsidP="004D7E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09D7" w:rsidRPr="00445DFB" w:rsidRDefault="004A6F72" w:rsidP="004D7E25">
      <w:pPr>
        <w:pStyle w:val="Heading1"/>
      </w:pPr>
      <w:r w:rsidRPr="00445DFB">
        <w:t>Action Points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Steering Committee to communicate by email on agenda finalisation for launch event, planned for 27 March, 09:00 am – 12:00 pm.  The agenda will be finalised by 16 March to ensure that it can be circulated to members.</w:t>
      </w:r>
    </w:p>
    <w:p w:rsidR="004D7E25" w:rsidRPr="004D7E25" w:rsidRDefault="004D7E25" w:rsidP="004D7E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>Nellie to circulate ToR to Resilience Exchange Network to members through NGO Forum and provide advance notification of the launch event.</w:t>
      </w:r>
    </w:p>
    <w:p w:rsidR="00445DFB" w:rsidRPr="004D7E25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 xml:space="preserve">Nellie to </w:t>
      </w:r>
      <w:r w:rsidR="004D7E25" w:rsidRPr="004D7E25">
        <w:rPr>
          <w:rFonts w:ascii="Arial" w:hAnsi="Arial" w:cs="Arial"/>
          <w:sz w:val="20"/>
          <w:szCs w:val="20"/>
        </w:rPr>
        <w:t xml:space="preserve">share information on the </w:t>
      </w:r>
      <w:r w:rsidRPr="004D7E25">
        <w:rPr>
          <w:rFonts w:ascii="Arial" w:hAnsi="Arial" w:cs="Arial"/>
          <w:sz w:val="20"/>
          <w:szCs w:val="20"/>
        </w:rPr>
        <w:t xml:space="preserve">NGO Forum website </w:t>
      </w:r>
      <w:r w:rsidR="004D7E25" w:rsidRPr="004D7E25">
        <w:rPr>
          <w:rFonts w:ascii="Arial" w:hAnsi="Arial" w:cs="Arial"/>
          <w:sz w:val="20"/>
          <w:szCs w:val="20"/>
        </w:rPr>
        <w:t xml:space="preserve">portal </w:t>
      </w:r>
      <w:r w:rsidRPr="004D7E25">
        <w:rPr>
          <w:rFonts w:ascii="Arial" w:hAnsi="Arial" w:cs="Arial"/>
          <w:sz w:val="20"/>
          <w:szCs w:val="20"/>
        </w:rPr>
        <w:t>to host and enable sharing of information and resources.</w:t>
      </w:r>
    </w:p>
    <w:p w:rsidR="009D5BF3" w:rsidRPr="004D7E25" w:rsidRDefault="009D5BF3" w:rsidP="00445DFB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FD7788" w:rsidRPr="00445DFB" w:rsidRDefault="004A6F72" w:rsidP="004D7E25">
      <w:pPr>
        <w:pStyle w:val="Heading1"/>
      </w:pPr>
      <w:r w:rsidRPr="00445DFB">
        <w:t>Next Meeting</w:t>
      </w:r>
    </w:p>
    <w:p w:rsidR="009D5BF3" w:rsidRPr="004D7E25" w:rsidRDefault="004D7E25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sz w:val="20"/>
          <w:szCs w:val="20"/>
        </w:rPr>
        <w:t xml:space="preserve">The next </w:t>
      </w:r>
      <w:r w:rsidR="004A6F72" w:rsidRPr="004D7E25">
        <w:rPr>
          <w:rFonts w:ascii="Arial" w:hAnsi="Arial" w:cs="Arial"/>
          <w:sz w:val="20"/>
          <w:szCs w:val="20"/>
        </w:rPr>
        <w:t xml:space="preserve">meeting of the </w:t>
      </w:r>
      <w:r w:rsidR="00445DFB" w:rsidRPr="004D7E25">
        <w:rPr>
          <w:rFonts w:ascii="Arial" w:hAnsi="Arial" w:cs="Arial"/>
          <w:sz w:val="20"/>
          <w:szCs w:val="20"/>
        </w:rPr>
        <w:t>Steering Committee will be held following adoption of the ToR and agreement of heads of agencies of the Steering Committee on the planning for the resilience event.</w:t>
      </w:r>
    </w:p>
    <w:sectPr w:rsidR="009D5BF3" w:rsidRPr="004D7E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F7" w:rsidRDefault="00E92CF7" w:rsidP="005609D7">
      <w:pPr>
        <w:spacing w:after="0" w:line="240" w:lineRule="auto"/>
      </w:pPr>
      <w:r>
        <w:separator/>
      </w:r>
    </w:p>
  </w:endnote>
  <w:endnote w:type="continuationSeparator" w:id="0">
    <w:p w:rsidR="00E92CF7" w:rsidRDefault="00E92CF7" w:rsidP="0056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08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F72" w:rsidRDefault="004A6F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5081" w:rsidRDefault="0055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F7" w:rsidRDefault="00E92CF7" w:rsidP="005609D7">
      <w:pPr>
        <w:spacing w:after="0" w:line="240" w:lineRule="auto"/>
      </w:pPr>
      <w:r>
        <w:separator/>
      </w:r>
    </w:p>
  </w:footnote>
  <w:footnote w:type="continuationSeparator" w:id="0">
    <w:p w:rsidR="00E92CF7" w:rsidRDefault="00E92CF7" w:rsidP="0056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81" w:rsidRDefault="00555081" w:rsidP="005609D7">
    <w:pPr>
      <w:pStyle w:val="Header"/>
    </w:pPr>
  </w:p>
  <w:p w:rsidR="00555081" w:rsidRDefault="00555081" w:rsidP="005609D7">
    <w:pPr>
      <w:pStyle w:val="Header"/>
    </w:pPr>
  </w:p>
  <w:p w:rsidR="00555081" w:rsidRDefault="00555081" w:rsidP="005609D7">
    <w:pPr>
      <w:pStyle w:val="Header"/>
    </w:pPr>
  </w:p>
  <w:p w:rsidR="00555081" w:rsidRDefault="00555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48D"/>
    <w:multiLevelType w:val="hybridMultilevel"/>
    <w:tmpl w:val="6F4400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97D21"/>
    <w:multiLevelType w:val="hybridMultilevel"/>
    <w:tmpl w:val="6966E7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77200"/>
    <w:multiLevelType w:val="hybridMultilevel"/>
    <w:tmpl w:val="8466A4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4069"/>
    <w:multiLevelType w:val="hybridMultilevel"/>
    <w:tmpl w:val="60D094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93C7D"/>
    <w:multiLevelType w:val="hybridMultilevel"/>
    <w:tmpl w:val="9F0AB462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AAB8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EE22862"/>
    <w:multiLevelType w:val="hybridMultilevel"/>
    <w:tmpl w:val="3924A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6AE4"/>
    <w:multiLevelType w:val="hybridMultilevel"/>
    <w:tmpl w:val="629449F8"/>
    <w:lvl w:ilvl="0" w:tplc="16D0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AB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30D9B"/>
    <w:multiLevelType w:val="hybridMultilevel"/>
    <w:tmpl w:val="32680B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36DD3"/>
    <w:multiLevelType w:val="hybridMultilevel"/>
    <w:tmpl w:val="1AF69CC0"/>
    <w:lvl w:ilvl="0" w:tplc="1DD4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0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2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0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3270FE"/>
    <w:multiLevelType w:val="hybridMultilevel"/>
    <w:tmpl w:val="8500C5B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83CBC"/>
    <w:multiLevelType w:val="multilevel"/>
    <w:tmpl w:val="0A7A5C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A40E10"/>
    <w:multiLevelType w:val="hybridMultilevel"/>
    <w:tmpl w:val="66A2B8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8"/>
  </w:num>
  <w:num w:numId="17">
    <w:abstractNumId w:val="10"/>
  </w:num>
  <w:num w:numId="18">
    <w:abstractNumId w:val="1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7"/>
    <w:rsid w:val="000142DD"/>
    <w:rsid w:val="00030978"/>
    <w:rsid w:val="000C195A"/>
    <w:rsid w:val="001051CA"/>
    <w:rsid w:val="001079E4"/>
    <w:rsid w:val="00111774"/>
    <w:rsid w:val="0013319E"/>
    <w:rsid w:val="0036632A"/>
    <w:rsid w:val="003836C7"/>
    <w:rsid w:val="0038396B"/>
    <w:rsid w:val="00386CFC"/>
    <w:rsid w:val="004133CD"/>
    <w:rsid w:val="00445DFB"/>
    <w:rsid w:val="004A6F72"/>
    <w:rsid w:val="004D7E25"/>
    <w:rsid w:val="004F7349"/>
    <w:rsid w:val="005256F3"/>
    <w:rsid w:val="00525707"/>
    <w:rsid w:val="0054754D"/>
    <w:rsid w:val="00555081"/>
    <w:rsid w:val="005609D7"/>
    <w:rsid w:val="005F0F28"/>
    <w:rsid w:val="00637D34"/>
    <w:rsid w:val="00751C94"/>
    <w:rsid w:val="00792514"/>
    <w:rsid w:val="008C3CBE"/>
    <w:rsid w:val="009B564A"/>
    <w:rsid w:val="009D5BF3"/>
    <w:rsid w:val="00AB451C"/>
    <w:rsid w:val="00AF0C1E"/>
    <w:rsid w:val="00B71181"/>
    <w:rsid w:val="00BF6527"/>
    <w:rsid w:val="00C15CAE"/>
    <w:rsid w:val="00C209BC"/>
    <w:rsid w:val="00D104AE"/>
    <w:rsid w:val="00DD6B7F"/>
    <w:rsid w:val="00E92CF7"/>
    <w:rsid w:val="00EA136B"/>
    <w:rsid w:val="00F649A0"/>
    <w:rsid w:val="00FA4F67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F4846-987F-4236-A526-9160A6F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E25"/>
    <w:pPr>
      <w:numPr>
        <w:numId w:val="7"/>
      </w:numPr>
      <w:spacing w:after="120" w:line="240" w:lineRule="auto"/>
      <w:ind w:left="357" w:hanging="357"/>
      <w:jc w:val="both"/>
      <w:outlineLvl w:val="0"/>
    </w:pPr>
    <w:rPr>
      <w:rFonts w:ascii="Arial" w:hAnsi="Arial" w:cs="Arial"/>
      <w:b/>
      <w:color w:val="00B050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D7E25"/>
    <w:pPr>
      <w:numPr>
        <w:ilvl w:val="1"/>
        <w:numId w:val="7"/>
      </w:numPr>
      <w:spacing w:after="0"/>
      <w:jc w:val="both"/>
      <w:outlineLvl w:val="1"/>
    </w:pPr>
    <w:rPr>
      <w:rFonts w:ascii="Arial" w:hAnsi="Arial" w:cs="Arial"/>
      <w:b/>
      <w:color w:val="00B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7"/>
  </w:style>
  <w:style w:type="paragraph" w:styleId="Footer">
    <w:name w:val="footer"/>
    <w:basedOn w:val="Normal"/>
    <w:link w:val="Foot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7"/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BF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4D7E25"/>
    <w:rPr>
      <w:rFonts w:ascii="Arial" w:hAnsi="Arial" w:cs="Arial"/>
      <w:b/>
      <w:color w:val="00B050"/>
      <w:sz w:val="24"/>
      <w:szCs w:val="24"/>
    </w:rPr>
  </w:style>
  <w:style w:type="table" w:styleId="TableGrid">
    <w:name w:val="Table Grid"/>
    <w:basedOn w:val="TableNormal"/>
    <w:uiPriority w:val="39"/>
    <w:rsid w:val="004D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7E25"/>
    <w:rPr>
      <w:rFonts w:ascii="Arial" w:hAnsi="Arial" w:cs="Arial"/>
      <w:b/>
      <w:color w:val="00B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AF15-71E2-428E-95CE-7DB03E33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McDonnell</dc:creator>
  <cp:keywords/>
  <dc:description/>
  <cp:lastModifiedBy>Nellie Kingston</cp:lastModifiedBy>
  <cp:revision>5</cp:revision>
  <dcterms:created xsi:type="dcterms:W3CDTF">2018-03-09T13:14:00Z</dcterms:created>
  <dcterms:modified xsi:type="dcterms:W3CDTF">2018-03-09T16:54:00Z</dcterms:modified>
</cp:coreProperties>
</file>