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62" w:rsidRPr="00315B62" w:rsidRDefault="00315B62" w:rsidP="00315B62">
      <w:pPr>
        <w:shd w:val="clear" w:color="auto" w:fill="92D050"/>
        <w:autoSpaceDE w:val="0"/>
        <w:autoSpaceDN w:val="0"/>
        <w:adjustRightInd w:val="0"/>
        <w:spacing w:after="0" w:line="240" w:lineRule="auto"/>
        <w:jc w:val="center"/>
        <w:rPr>
          <w:rFonts w:ascii="Arial" w:hAnsi="Arial" w:cs="Arial"/>
          <w:b/>
          <w:sz w:val="20"/>
          <w:szCs w:val="20"/>
          <w:u w:val="single"/>
        </w:rPr>
      </w:pPr>
      <w:r w:rsidRPr="00315B62">
        <w:rPr>
          <w:rFonts w:ascii="Arial" w:hAnsi="Arial" w:cs="Arial"/>
          <w:b/>
          <w:sz w:val="20"/>
          <w:szCs w:val="20"/>
          <w:u w:val="single"/>
        </w:rPr>
        <w:t>DIALOGUE ON BUILDING RESILIENCE TO HUNGER IN SOUTH SUDAN: PANEL DISCUSSION;</w:t>
      </w:r>
    </w:p>
    <w:p w:rsidR="00315B62" w:rsidRDefault="00315B62" w:rsidP="004164FC">
      <w:pPr>
        <w:autoSpaceDE w:val="0"/>
        <w:autoSpaceDN w:val="0"/>
        <w:adjustRightInd w:val="0"/>
        <w:spacing w:after="0" w:line="240" w:lineRule="auto"/>
        <w:jc w:val="both"/>
        <w:rPr>
          <w:rFonts w:ascii="Arial" w:hAnsi="Arial" w:cs="Arial"/>
          <w:b/>
          <w:sz w:val="18"/>
          <w:szCs w:val="18"/>
          <w:u w:val="single"/>
        </w:rPr>
      </w:pPr>
    </w:p>
    <w:p w:rsidR="00315B62" w:rsidRPr="00315B62" w:rsidRDefault="00315B62" w:rsidP="00315B62">
      <w:pPr>
        <w:autoSpaceDE w:val="0"/>
        <w:autoSpaceDN w:val="0"/>
        <w:adjustRightInd w:val="0"/>
        <w:spacing w:after="0" w:line="240" w:lineRule="auto"/>
        <w:jc w:val="both"/>
        <w:rPr>
          <w:rFonts w:ascii="Arial" w:hAnsi="Arial" w:cs="Arial"/>
          <w:b/>
          <w:i/>
          <w:sz w:val="18"/>
          <w:szCs w:val="18"/>
        </w:rPr>
      </w:pPr>
      <w:r w:rsidRPr="00315B62">
        <w:rPr>
          <w:rFonts w:ascii="Arial" w:hAnsi="Arial" w:cs="Arial"/>
          <w:b/>
          <w:i/>
          <w:sz w:val="18"/>
          <w:szCs w:val="18"/>
        </w:rPr>
        <w:t>Question 2 (to Nellie Kingston): We have heard about what works but we are also interested to learn from what does not work so well in South Sudan. So, what are the traps that we must avoid?</w:t>
      </w:r>
    </w:p>
    <w:p w:rsidR="00315B62" w:rsidRPr="00315B62" w:rsidRDefault="00315B62" w:rsidP="00315B62">
      <w:pPr>
        <w:autoSpaceDE w:val="0"/>
        <w:autoSpaceDN w:val="0"/>
        <w:adjustRightInd w:val="0"/>
        <w:spacing w:after="0" w:line="240" w:lineRule="auto"/>
        <w:jc w:val="both"/>
        <w:rPr>
          <w:rFonts w:ascii="Arial" w:hAnsi="Arial" w:cs="Arial"/>
          <w:b/>
          <w:sz w:val="18"/>
          <w:szCs w:val="18"/>
        </w:rPr>
      </w:pPr>
    </w:p>
    <w:p w:rsidR="00076108" w:rsidRDefault="00076108" w:rsidP="00315B62">
      <w:pPr>
        <w:pStyle w:val="ListParagraph"/>
        <w:numPr>
          <w:ilvl w:val="0"/>
          <w:numId w:val="3"/>
        </w:numPr>
        <w:autoSpaceDE w:val="0"/>
        <w:autoSpaceDN w:val="0"/>
        <w:adjustRightInd w:val="0"/>
        <w:spacing w:line="240" w:lineRule="auto"/>
        <w:jc w:val="both"/>
        <w:rPr>
          <w:rFonts w:ascii="Arial" w:hAnsi="Arial" w:cs="Arial"/>
          <w:sz w:val="18"/>
          <w:szCs w:val="18"/>
        </w:rPr>
      </w:pPr>
      <w:r w:rsidRPr="00315B62">
        <w:rPr>
          <w:rFonts w:ascii="Arial" w:hAnsi="Arial" w:cs="Arial"/>
          <w:b/>
          <w:sz w:val="18"/>
          <w:szCs w:val="18"/>
        </w:rPr>
        <w:t>NOT HAVING LEADERSHIP</w:t>
      </w:r>
      <w:r w:rsidRPr="00315B62">
        <w:rPr>
          <w:rFonts w:ascii="Arial" w:hAnsi="Arial" w:cs="Arial"/>
          <w:sz w:val="18"/>
          <w:szCs w:val="18"/>
        </w:rPr>
        <w:t xml:space="preserve"> at to ensure that resilience programme does not become diluted; and that resilience building is embedded in organisational understanding and is communicated externally to programme participants, stakeholders and actors.</w:t>
      </w:r>
    </w:p>
    <w:p w:rsidR="00315B62" w:rsidRPr="00315B62" w:rsidRDefault="00315B62" w:rsidP="00315B62">
      <w:pPr>
        <w:pStyle w:val="ListParagraph"/>
        <w:autoSpaceDE w:val="0"/>
        <w:autoSpaceDN w:val="0"/>
        <w:adjustRightInd w:val="0"/>
        <w:spacing w:line="240" w:lineRule="auto"/>
        <w:ind w:left="360"/>
        <w:jc w:val="both"/>
        <w:rPr>
          <w:rFonts w:ascii="Arial" w:hAnsi="Arial" w:cs="Arial"/>
          <w:sz w:val="10"/>
          <w:szCs w:val="10"/>
        </w:rPr>
      </w:pPr>
    </w:p>
    <w:p w:rsidR="00315B62" w:rsidRDefault="00D47177" w:rsidP="00315B62">
      <w:pPr>
        <w:pStyle w:val="ListParagraph"/>
        <w:numPr>
          <w:ilvl w:val="0"/>
          <w:numId w:val="3"/>
        </w:numPr>
        <w:autoSpaceDE w:val="0"/>
        <w:autoSpaceDN w:val="0"/>
        <w:adjustRightInd w:val="0"/>
        <w:spacing w:line="240" w:lineRule="auto"/>
        <w:jc w:val="both"/>
        <w:rPr>
          <w:rFonts w:ascii="Arial" w:hAnsi="Arial" w:cs="Arial"/>
          <w:sz w:val="18"/>
          <w:szCs w:val="18"/>
        </w:rPr>
      </w:pPr>
      <w:r w:rsidRPr="00315B62">
        <w:rPr>
          <w:rFonts w:ascii="Arial" w:hAnsi="Arial" w:cs="Arial"/>
          <w:b/>
          <w:sz w:val="18"/>
          <w:szCs w:val="18"/>
        </w:rPr>
        <w:t>NOT HAVING</w:t>
      </w:r>
      <w:r w:rsidRPr="00315B62">
        <w:rPr>
          <w:rFonts w:ascii="Arial" w:hAnsi="Arial" w:cs="Arial"/>
          <w:sz w:val="18"/>
          <w:szCs w:val="18"/>
        </w:rPr>
        <w:t xml:space="preserve"> </w:t>
      </w:r>
      <w:r w:rsidR="004164FC" w:rsidRPr="00315B62">
        <w:rPr>
          <w:rFonts w:ascii="Arial" w:hAnsi="Arial" w:cs="Arial"/>
          <w:b/>
          <w:sz w:val="18"/>
          <w:szCs w:val="18"/>
        </w:rPr>
        <w:t>A SHARED UNDERSTANDING OF RESILIENCE PROGRAMMING</w:t>
      </w:r>
      <w:r w:rsidR="00606683" w:rsidRPr="00315B62">
        <w:rPr>
          <w:rFonts w:ascii="Arial" w:hAnsi="Arial" w:cs="Arial"/>
          <w:sz w:val="18"/>
          <w:szCs w:val="18"/>
        </w:rPr>
        <w:t>, its scope, depth and reach – time consuming, process orientated, multi-level, multi-stakeholder.  It requires a long-term commitment outside of the many programme funding cycles.</w:t>
      </w:r>
      <w:r w:rsidR="00A7387A" w:rsidRPr="00315B62">
        <w:rPr>
          <w:rFonts w:ascii="Arial" w:hAnsi="Arial" w:cs="Arial"/>
          <w:sz w:val="18"/>
          <w:szCs w:val="18"/>
        </w:rPr>
        <w:t xml:space="preserve"> </w:t>
      </w:r>
      <w:r w:rsidR="00076108" w:rsidRPr="00315B62">
        <w:rPr>
          <w:rFonts w:ascii="Arial" w:hAnsi="Arial" w:cs="Arial"/>
          <w:sz w:val="18"/>
          <w:szCs w:val="18"/>
        </w:rPr>
        <w:t>The lens or focus of a specific programme: hunger, climate change or conflict which were mentioned is sub-ordinate because building resilience seeks to address the hazards identified by those who are vulnerable. Activities should therefore not be prescriptive as they are designed following the identification of hazard and risk.</w:t>
      </w:r>
    </w:p>
    <w:p w:rsidR="00315B62" w:rsidRPr="00315B62" w:rsidRDefault="00315B62" w:rsidP="00315B62">
      <w:pPr>
        <w:pStyle w:val="ListParagraph"/>
        <w:autoSpaceDE w:val="0"/>
        <w:autoSpaceDN w:val="0"/>
        <w:adjustRightInd w:val="0"/>
        <w:spacing w:line="240" w:lineRule="auto"/>
        <w:ind w:left="360"/>
        <w:jc w:val="both"/>
        <w:rPr>
          <w:rFonts w:ascii="Arial" w:hAnsi="Arial" w:cs="Arial"/>
          <w:sz w:val="10"/>
          <w:szCs w:val="10"/>
        </w:rPr>
      </w:pPr>
    </w:p>
    <w:p w:rsidR="00315B62" w:rsidRPr="00315B62" w:rsidRDefault="00D47177" w:rsidP="00315B62">
      <w:pPr>
        <w:pStyle w:val="ListParagraph"/>
        <w:numPr>
          <w:ilvl w:val="0"/>
          <w:numId w:val="3"/>
        </w:numPr>
        <w:autoSpaceDE w:val="0"/>
        <w:autoSpaceDN w:val="0"/>
        <w:adjustRightInd w:val="0"/>
        <w:spacing w:line="240" w:lineRule="auto"/>
        <w:jc w:val="both"/>
        <w:rPr>
          <w:rFonts w:ascii="Arial" w:hAnsi="Arial" w:cs="Arial"/>
          <w:sz w:val="18"/>
          <w:szCs w:val="18"/>
        </w:rPr>
      </w:pPr>
      <w:r w:rsidRPr="00315B62">
        <w:rPr>
          <w:rFonts w:ascii="Arial" w:hAnsi="Arial" w:cs="Arial"/>
          <w:b/>
          <w:sz w:val="18"/>
          <w:szCs w:val="18"/>
        </w:rPr>
        <w:t xml:space="preserve">NOT DOING </w:t>
      </w:r>
      <w:r w:rsidR="004164FC" w:rsidRPr="00315B62">
        <w:rPr>
          <w:rFonts w:ascii="Arial" w:hAnsi="Arial" w:cs="Arial"/>
          <w:b/>
          <w:sz w:val="18"/>
          <w:szCs w:val="18"/>
        </w:rPr>
        <w:t>A ROBUST, MULTI-HAZARD RISK ANALYSIS</w:t>
      </w:r>
      <w:r w:rsidRPr="00315B62">
        <w:rPr>
          <w:rFonts w:ascii="Arial" w:hAnsi="Arial" w:cs="Arial"/>
          <w:b/>
          <w:sz w:val="18"/>
          <w:szCs w:val="18"/>
        </w:rPr>
        <w:t xml:space="preserve"> </w:t>
      </w:r>
      <w:r w:rsidRPr="00315B62">
        <w:rPr>
          <w:rFonts w:ascii="Arial" w:hAnsi="Arial" w:cs="Arial"/>
          <w:sz w:val="18"/>
          <w:szCs w:val="18"/>
        </w:rPr>
        <w:t xml:space="preserve">– considering human derived and natural hazards.  Reducing the vulnerability of people to hazards requires an understanding of and addressing the </w:t>
      </w:r>
      <w:r w:rsidRPr="00315B62">
        <w:rPr>
          <w:rFonts w:ascii="Arial" w:hAnsi="Arial" w:cs="Arial"/>
          <w:b/>
          <w:sz w:val="18"/>
          <w:szCs w:val="18"/>
        </w:rPr>
        <w:t>causes of vulnerability</w:t>
      </w:r>
      <w:r w:rsidRPr="00315B62">
        <w:rPr>
          <w:rFonts w:ascii="Arial" w:hAnsi="Arial" w:cs="Arial"/>
          <w:sz w:val="18"/>
          <w:szCs w:val="18"/>
        </w:rPr>
        <w:t xml:space="preserve"> (usually socially constructed): </w:t>
      </w:r>
      <w:r w:rsidR="00606683" w:rsidRPr="00315B62">
        <w:rPr>
          <w:rFonts w:ascii="Arial" w:hAnsi="Arial" w:cs="Arial"/>
          <w:sz w:val="18"/>
          <w:szCs w:val="18"/>
        </w:rPr>
        <w:t>poverty, hunger, climate extremes, inequality and conflict.</w:t>
      </w:r>
      <w:r w:rsidR="00076108" w:rsidRPr="00315B62">
        <w:rPr>
          <w:rFonts w:ascii="Arial" w:hAnsi="Arial" w:cs="Arial"/>
          <w:b/>
          <w:sz w:val="18"/>
          <w:szCs w:val="18"/>
        </w:rPr>
        <w:t xml:space="preserve"> DRR is a cornerstone of community resilience building </w:t>
      </w:r>
      <w:r w:rsidR="00076108" w:rsidRPr="00315B62">
        <w:rPr>
          <w:rFonts w:ascii="Arial" w:hAnsi="Arial" w:cs="Arial"/>
          <w:sz w:val="18"/>
          <w:szCs w:val="18"/>
        </w:rPr>
        <w:t xml:space="preserve">and helps communities cope with shocks and stresses, adapting to changes and transforming the risk context; making it </w:t>
      </w:r>
      <w:r w:rsidR="00076108" w:rsidRPr="00315B62">
        <w:rPr>
          <w:rFonts w:ascii="Arial" w:hAnsi="Arial" w:cs="Arial"/>
          <w:b/>
          <w:sz w:val="18"/>
          <w:szCs w:val="18"/>
        </w:rPr>
        <w:t>a critical component of sustainable alleviation of extreme poverty and eradication of hunger.</w:t>
      </w:r>
    </w:p>
    <w:p w:rsidR="00315B62" w:rsidRPr="00315B62" w:rsidRDefault="00315B62" w:rsidP="00315B62">
      <w:pPr>
        <w:pStyle w:val="ListParagraph"/>
        <w:rPr>
          <w:rFonts w:ascii="Arial" w:hAnsi="Arial" w:cs="Arial"/>
          <w:sz w:val="10"/>
          <w:szCs w:val="10"/>
        </w:rPr>
      </w:pPr>
    </w:p>
    <w:p w:rsidR="00315B62" w:rsidRDefault="00D47177" w:rsidP="00315B62">
      <w:pPr>
        <w:pStyle w:val="ListParagraph"/>
        <w:numPr>
          <w:ilvl w:val="0"/>
          <w:numId w:val="2"/>
        </w:numPr>
        <w:autoSpaceDE w:val="0"/>
        <w:autoSpaceDN w:val="0"/>
        <w:adjustRightInd w:val="0"/>
        <w:spacing w:line="240" w:lineRule="auto"/>
        <w:jc w:val="both"/>
        <w:rPr>
          <w:rFonts w:ascii="Arial" w:hAnsi="Arial" w:cs="Arial"/>
          <w:sz w:val="18"/>
          <w:szCs w:val="18"/>
        </w:rPr>
      </w:pPr>
      <w:r w:rsidRPr="00315B62">
        <w:rPr>
          <w:rFonts w:ascii="Arial" w:hAnsi="Arial" w:cs="Arial"/>
          <w:b/>
          <w:sz w:val="18"/>
          <w:szCs w:val="18"/>
        </w:rPr>
        <w:t>NOT ENGAGING</w:t>
      </w:r>
      <w:r w:rsidRPr="00315B62">
        <w:rPr>
          <w:rFonts w:ascii="Arial" w:hAnsi="Arial" w:cs="Arial"/>
          <w:sz w:val="18"/>
          <w:szCs w:val="18"/>
        </w:rPr>
        <w:t xml:space="preserve"> </w:t>
      </w:r>
      <w:r w:rsidR="004164FC" w:rsidRPr="00315B62">
        <w:rPr>
          <w:rFonts w:ascii="Arial" w:hAnsi="Arial" w:cs="Arial"/>
          <w:b/>
          <w:sz w:val="18"/>
          <w:szCs w:val="18"/>
        </w:rPr>
        <w:t xml:space="preserve">WITH </w:t>
      </w:r>
      <w:r w:rsidR="00AA783D" w:rsidRPr="00315B62">
        <w:rPr>
          <w:rFonts w:ascii="Arial" w:hAnsi="Arial" w:cs="Arial"/>
          <w:b/>
          <w:sz w:val="18"/>
          <w:szCs w:val="18"/>
        </w:rPr>
        <w:t>VULNERABLE PEOPLE, COMMUNITIES</w:t>
      </w:r>
      <w:r w:rsidR="004164FC" w:rsidRPr="00315B62">
        <w:rPr>
          <w:rFonts w:ascii="Arial" w:hAnsi="Arial" w:cs="Arial"/>
          <w:b/>
          <w:sz w:val="18"/>
          <w:szCs w:val="18"/>
        </w:rPr>
        <w:t xml:space="preserve">, AND LINKING </w:t>
      </w:r>
      <w:r w:rsidR="00AA783D" w:rsidRPr="00315B62">
        <w:rPr>
          <w:rFonts w:ascii="Arial" w:hAnsi="Arial" w:cs="Arial"/>
          <w:b/>
          <w:sz w:val="18"/>
          <w:szCs w:val="18"/>
        </w:rPr>
        <w:t xml:space="preserve">COMMUNITIES </w:t>
      </w:r>
      <w:r w:rsidR="004164FC" w:rsidRPr="00315B62">
        <w:rPr>
          <w:rFonts w:ascii="Arial" w:hAnsi="Arial" w:cs="Arial"/>
          <w:b/>
          <w:sz w:val="18"/>
          <w:szCs w:val="18"/>
        </w:rPr>
        <w:t xml:space="preserve">TO ALL </w:t>
      </w:r>
      <w:r w:rsidR="00076108" w:rsidRPr="00315B62">
        <w:rPr>
          <w:rFonts w:ascii="Arial" w:hAnsi="Arial" w:cs="Arial"/>
          <w:b/>
          <w:sz w:val="18"/>
          <w:szCs w:val="18"/>
        </w:rPr>
        <w:t xml:space="preserve">LEVELS AND </w:t>
      </w:r>
      <w:r w:rsidR="004164FC" w:rsidRPr="00315B62">
        <w:rPr>
          <w:rFonts w:ascii="Arial" w:hAnsi="Arial" w:cs="Arial"/>
          <w:b/>
          <w:sz w:val="18"/>
          <w:szCs w:val="18"/>
        </w:rPr>
        <w:t>STAKEHOLDERS</w:t>
      </w:r>
      <w:r w:rsidR="00C750F4" w:rsidRPr="00315B62">
        <w:rPr>
          <w:rFonts w:ascii="Arial" w:hAnsi="Arial" w:cs="Arial"/>
          <w:sz w:val="18"/>
          <w:szCs w:val="18"/>
        </w:rPr>
        <w:t xml:space="preserve">, including </w:t>
      </w:r>
      <w:r w:rsidR="00606683" w:rsidRPr="00315B62">
        <w:rPr>
          <w:rFonts w:ascii="Arial" w:hAnsi="Arial" w:cs="Arial"/>
          <w:sz w:val="18"/>
          <w:szCs w:val="18"/>
        </w:rPr>
        <w:t xml:space="preserve">and especially </w:t>
      </w:r>
      <w:r w:rsidR="00C750F4" w:rsidRPr="00315B62">
        <w:rPr>
          <w:rFonts w:ascii="Arial" w:hAnsi="Arial" w:cs="Arial"/>
          <w:sz w:val="18"/>
          <w:szCs w:val="18"/>
        </w:rPr>
        <w:t>government.</w:t>
      </w:r>
      <w:r w:rsidR="00606683" w:rsidRPr="00315B62">
        <w:rPr>
          <w:rFonts w:ascii="Arial" w:hAnsi="Arial" w:cs="Arial"/>
          <w:sz w:val="18"/>
          <w:szCs w:val="18"/>
        </w:rPr>
        <w:t xml:space="preserve">  Where this is not possible, link</w:t>
      </w:r>
      <w:r w:rsidR="00AA783D" w:rsidRPr="00315B62">
        <w:rPr>
          <w:rFonts w:ascii="Arial" w:hAnsi="Arial" w:cs="Arial"/>
          <w:sz w:val="18"/>
          <w:szCs w:val="18"/>
        </w:rPr>
        <w:t>ing</w:t>
      </w:r>
      <w:r w:rsidR="00606683" w:rsidRPr="00315B62">
        <w:rPr>
          <w:rFonts w:ascii="Arial" w:hAnsi="Arial" w:cs="Arial"/>
          <w:sz w:val="18"/>
          <w:szCs w:val="18"/>
        </w:rPr>
        <w:t xml:space="preserve"> with governance structures that exist</w:t>
      </w:r>
      <w:r w:rsidR="000F157F" w:rsidRPr="00315B62">
        <w:rPr>
          <w:rFonts w:ascii="Arial" w:hAnsi="Arial" w:cs="Arial"/>
          <w:sz w:val="18"/>
          <w:szCs w:val="18"/>
        </w:rPr>
        <w:t xml:space="preserve"> –traditional and political-administrative</w:t>
      </w:r>
      <w:r w:rsidR="00AA783D" w:rsidRPr="00315B62">
        <w:rPr>
          <w:rFonts w:ascii="Arial" w:hAnsi="Arial" w:cs="Arial"/>
          <w:sz w:val="18"/>
          <w:szCs w:val="18"/>
        </w:rPr>
        <w:t xml:space="preserve">. </w:t>
      </w:r>
      <w:r w:rsidR="000F157F" w:rsidRPr="00315B62">
        <w:rPr>
          <w:rFonts w:ascii="Arial" w:hAnsi="Arial" w:cs="Arial"/>
          <w:sz w:val="18"/>
          <w:szCs w:val="18"/>
        </w:rPr>
        <w:t xml:space="preserve">Community governance structures must be recognised by </w:t>
      </w:r>
      <w:proofErr w:type="spellStart"/>
      <w:r w:rsidR="000F157F" w:rsidRPr="00315B62">
        <w:rPr>
          <w:rFonts w:ascii="Arial" w:hAnsi="Arial" w:cs="Arial"/>
          <w:sz w:val="18"/>
          <w:szCs w:val="18"/>
        </w:rPr>
        <w:t>meso</w:t>
      </w:r>
      <w:proofErr w:type="spellEnd"/>
      <w:r w:rsidR="000F157F" w:rsidRPr="00315B62">
        <w:rPr>
          <w:rFonts w:ascii="Arial" w:hAnsi="Arial" w:cs="Arial"/>
          <w:sz w:val="18"/>
          <w:szCs w:val="18"/>
        </w:rPr>
        <w:t xml:space="preserve"> and macro level institutions.  The degree of acceptance from the wider community will influence how well these institutions will function. It is better to use established community governance institutions, rather than creating new institutions, although government policies should be followed if they exist</w:t>
      </w:r>
      <w:r w:rsidR="00076108" w:rsidRPr="00315B62">
        <w:rPr>
          <w:rFonts w:ascii="Arial" w:hAnsi="Arial" w:cs="Arial"/>
          <w:sz w:val="18"/>
          <w:szCs w:val="18"/>
        </w:rPr>
        <w:t>; and developed through support if they do not</w:t>
      </w:r>
      <w:r w:rsidR="000F157F" w:rsidRPr="00315B62">
        <w:rPr>
          <w:rFonts w:ascii="Arial" w:hAnsi="Arial" w:cs="Arial"/>
          <w:sz w:val="18"/>
          <w:szCs w:val="18"/>
        </w:rPr>
        <w:t>.</w:t>
      </w:r>
      <w:r w:rsidR="003A6A6F">
        <w:rPr>
          <w:rFonts w:ascii="Arial" w:hAnsi="Arial" w:cs="Arial"/>
          <w:sz w:val="18"/>
          <w:szCs w:val="18"/>
        </w:rPr>
        <w:t xml:space="preserve"> Within weak government institutions and systems are capable staff who are willing to engage and this is an important sustainability factor.  Positive e</w:t>
      </w:r>
      <w:bookmarkStart w:id="0" w:name="_GoBack"/>
      <w:bookmarkEnd w:id="0"/>
      <w:r w:rsidR="003A6A6F">
        <w:rPr>
          <w:rFonts w:ascii="Arial" w:hAnsi="Arial" w:cs="Arial"/>
          <w:sz w:val="18"/>
          <w:szCs w:val="18"/>
        </w:rPr>
        <w:t xml:space="preserve">ngagement at the local level especially is possible.  </w:t>
      </w:r>
    </w:p>
    <w:p w:rsidR="00315B62" w:rsidRPr="00315B62" w:rsidRDefault="00315B62" w:rsidP="00315B62">
      <w:pPr>
        <w:pStyle w:val="ListParagraph"/>
        <w:autoSpaceDE w:val="0"/>
        <w:autoSpaceDN w:val="0"/>
        <w:adjustRightInd w:val="0"/>
        <w:spacing w:line="240" w:lineRule="auto"/>
        <w:ind w:left="360"/>
        <w:jc w:val="both"/>
        <w:rPr>
          <w:rFonts w:ascii="Arial" w:hAnsi="Arial" w:cs="Arial"/>
          <w:sz w:val="10"/>
          <w:szCs w:val="10"/>
        </w:rPr>
      </w:pPr>
    </w:p>
    <w:p w:rsidR="00A7387A" w:rsidRPr="00315B62" w:rsidRDefault="00606683" w:rsidP="00315B62">
      <w:pPr>
        <w:pStyle w:val="ListParagraph"/>
        <w:numPr>
          <w:ilvl w:val="0"/>
          <w:numId w:val="2"/>
        </w:numPr>
        <w:autoSpaceDE w:val="0"/>
        <w:autoSpaceDN w:val="0"/>
        <w:adjustRightInd w:val="0"/>
        <w:spacing w:line="240" w:lineRule="auto"/>
        <w:jc w:val="both"/>
        <w:rPr>
          <w:rFonts w:ascii="Arial" w:hAnsi="Arial" w:cs="Arial"/>
          <w:sz w:val="18"/>
          <w:szCs w:val="18"/>
        </w:rPr>
      </w:pPr>
      <w:r w:rsidRPr="00315B62">
        <w:rPr>
          <w:rFonts w:ascii="Arial" w:hAnsi="Arial" w:cs="Arial"/>
          <w:b/>
          <w:sz w:val="18"/>
          <w:szCs w:val="18"/>
        </w:rPr>
        <w:t xml:space="preserve">NOT INVESTING IN </w:t>
      </w:r>
      <w:r w:rsidR="00076108" w:rsidRPr="00315B62">
        <w:rPr>
          <w:rFonts w:ascii="Arial" w:hAnsi="Arial" w:cs="Arial"/>
          <w:b/>
          <w:sz w:val="18"/>
          <w:szCs w:val="18"/>
        </w:rPr>
        <w:t xml:space="preserve">THE CAPACITY OF MULTIPLE ACTORS </w:t>
      </w:r>
      <w:r w:rsidR="00261352" w:rsidRPr="00315B62">
        <w:rPr>
          <w:rFonts w:ascii="Arial" w:hAnsi="Arial" w:cs="Arial"/>
          <w:sz w:val="18"/>
          <w:szCs w:val="18"/>
        </w:rPr>
        <w:t xml:space="preserve">if the underlying causes of risk and vulnerability are to be addressed. </w:t>
      </w:r>
      <w:r w:rsidR="00A7387A" w:rsidRPr="00315B62">
        <w:rPr>
          <w:rFonts w:ascii="Arial" w:hAnsi="Arial" w:cs="Arial"/>
          <w:sz w:val="18"/>
          <w:szCs w:val="18"/>
        </w:rPr>
        <w:t xml:space="preserve">Strengthening institutions is a major component DRR and resilience </w:t>
      </w:r>
      <w:r w:rsidR="00076108" w:rsidRPr="00315B62">
        <w:rPr>
          <w:rFonts w:ascii="Arial" w:hAnsi="Arial" w:cs="Arial"/>
          <w:sz w:val="18"/>
          <w:szCs w:val="18"/>
        </w:rPr>
        <w:t xml:space="preserve">building </w:t>
      </w:r>
      <w:r w:rsidR="00A7387A" w:rsidRPr="00315B62">
        <w:rPr>
          <w:rFonts w:ascii="Arial" w:hAnsi="Arial" w:cs="Arial"/>
          <w:sz w:val="18"/>
          <w:szCs w:val="18"/>
        </w:rPr>
        <w:t xml:space="preserve">- directly and indirectly providing institutional bodies with greater economic, physical, political, or social resources to implement DRR. </w:t>
      </w:r>
    </w:p>
    <w:p w:rsidR="00315B62" w:rsidRPr="00315B62" w:rsidRDefault="00315B62" w:rsidP="00315B62">
      <w:pPr>
        <w:pStyle w:val="ListParagraph"/>
        <w:autoSpaceDE w:val="0"/>
        <w:autoSpaceDN w:val="0"/>
        <w:adjustRightInd w:val="0"/>
        <w:spacing w:line="240" w:lineRule="auto"/>
        <w:ind w:left="360"/>
        <w:jc w:val="both"/>
        <w:rPr>
          <w:rFonts w:ascii="Arial" w:hAnsi="Arial" w:cs="Arial"/>
          <w:sz w:val="10"/>
          <w:szCs w:val="10"/>
        </w:rPr>
      </w:pPr>
    </w:p>
    <w:p w:rsidR="00AA783D" w:rsidRPr="00315B62" w:rsidRDefault="00606683" w:rsidP="00315B62">
      <w:pPr>
        <w:pStyle w:val="ListParagraph"/>
        <w:numPr>
          <w:ilvl w:val="0"/>
          <w:numId w:val="2"/>
        </w:numPr>
        <w:autoSpaceDE w:val="0"/>
        <w:autoSpaceDN w:val="0"/>
        <w:adjustRightInd w:val="0"/>
        <w:spacing w:line="240" w:lineRule="auto"/>
        <w:jc w:val="both"/>
        <w:rPr>
          <w:rFonts w:ascii="Arial" w:hAnsi="Arial" w:cs="Arial"/>
          <w:sz w:val="18"/>
          <w:szCs w:val="18"/>
        </w:rPr>
      </w:pPr>
      <w:r w:rsidRPr="00315B62">
        <w:rPr>
          <w:rFonts w:ascii="Arial" w:hAnsi="Arial" w:cs="Arial"/>
          <w:b/>
          <w:sz w:val="18"/>
          <w:szCs w:val="18"/>
        </w:rPr>
        <w:t>NOT IMPLEMENTING COORDINATED APPROACHES</w:t>
      </w:r>
      <w:r w:rsidRPr="00315B62">
        <w:rPr>
          <w:rFonts w:ascii="Arial" w:hAnsi="Arial" w:cs="Arial"/>
          <w:sz w:val="18"/>
          <w:szCs w:val="18"/>
        </w:rPr>
        <w:t xml:space="preserve"> </w:t>
      </w:r>
      <w:r w:rsidR="004164FC" w:rsidRPr="00315B62">
        <w:rPr>
          <w:rFonts w:ascii="Arial" w:hAnsi="Arial" w:cs="Arial"/>
          <w:sz w:val="18"/>
          <w:szCs w:val="18"/>
        </w:rPr>
        <w:t xml:space="preserve">and </w:t>
      </w:r>
      <w:r w:rsidR="00261352" w:rsidRPr="00315B62">
        <w:rPr>
          <w:rFonts w:ascii="Arial" w:hAnsi="Arial" w:cs="Arial"/>
          <w:sz w:val="18"/>
          <w:szCs w:val="18"/>
        </w:rPr>
        <w:t>integrating short- and long-term interventions and to work in multiple sectors.</w:t>
      </w:r>
      <w:r w:rsidR="00A7387A" w:rsidRPr="00315B62">
        <w:rPr>
          <w:rFonts w:ascii="Arial" w:hAnsi="Arial" w:cs="Arial"/>
          <w:sz w:val="18"/>
          <w:szCs w:val="18"/>
        </w:rPr>
        <w:t xml:space="preserve"> </w:t>
      </w:r>
      <w:r w:rsidR="00AA783D" w:rsidRPr="00315B62">
        <w:rPr>
          <w:rFonts w:ascii="Arial" w:hAnsi="Arial" w:cs="Arial"/>
          <w:sz w:val="18"/>
          <w:szCs w:val="18"/>
        </w:rPr>
        <w:t xml:space="preserve">Strategic partnerships with other organisations add value and introduce different capacities. Ensuring that DRR received adequate support from government, and a DRR institutional structure is in place and functioning, often requires high degrees of advocacy at national level, and consortium approaches </w:t>
      </w:r>
      <w:r w:rsidR="00076108" w:rsidRPr="00315B62">
        <w:rPr>
          <w:rFonts w:ascii="Arial" w:hAnsi="Arial" w:cs="Arial"/>
          <w:sz w:val="18"/>
          <w:szCs w:val="18"/>
        </w:rPr>
        <w:t xml:space="preserve">(joint ventures) </w:t>
      </w:r>
      <w:r w:rsidR="00AA783D" w:rsidRPr="00315B62">
        <w:rPr>
          <w:rFonts w:ascii="Arial" w:hAnsi="Arial" w:cs="Arial"/>
          <w:sz w:val="18"/>
          <w:szCs w:val="18"/>
        </w:rPr>
        <w:t xml:space="preserve">can be </w:t>
      </w:r>
      <w:r w:rsidR="00076108" w:rsidRPr="00315B62">
        <w:rPr>
          <w:rFonts w:ascii="Arial" w:hAnsi="Arial" w:cs="Arial"/>
          <w:sz w:val="18"/>
          <w:szCs w:val="18"/>
        </w:rPr>
        <w:t>a vehicle for this</w:t>
      </w:r>
      <w:r w:rsidR="00AA783D" w:rsidRPr="00315B62">
        <w:rPr>
          <w:rFonts w:ascii="Arial" w:hAnsi="Arial" w:cs="Arial"/>
          <w:sz w:val="18"/>
          <w:szCs w:val="18"/>
        </w:rPr>
        <w:t>. A consortium can be a platform for a unified voice, messages, and sets of practices, and can improve the chance that approaches get adopted by governments at either local or national levels</w:t>
      </w:r>
      <w:r w:rsidR="00076108" w:rsidRPr="00315B62">
        <w:rPr>
          <w:rFonts w:ascii="Arial" w:hAnsi="Arial" w:cs="Arial"/>
          <w:sz w:val="18"/>
          <w:szCs w:val="18"/>
        </w:rPr>
        <w:t>; and importantly one which can bring scale</w:t>
      </w:r>
      <w:r w:rsidR="00AA783D" w:rsidRPr="00315B62">
        <w:rPr>
          <w:rFonts w:ascii="Arial" w:hAnsi="Arial" w:cs="Arial"/>
          <w:sz w:val="18"/>
          <w:szCs w:val="18"/>
        </w:rPr>
        <w:t>.</w:t>
      </w:r>
    </w:p>
    <w:p w:rsidR="00315B62" w:rsidRPr="00315B62" w:rsidRDefault="00315B62" w:rsidP="00315B62">
      <w:pPr>
        <w:pStyle w:val="ListParagraph"/>
        <w:autoSpaceDE w:val="0"/>
        <w:autoSpaceDN w:val="0"/>
        <w:adjustRightInd w:val="0"/>
        <w:spacing w:line="240" w:lineRule="auto"/>
        <w:ind w:left="360"/>
        <w:jc w:val="both"/>
        <w:rPr>
          <w:rFonts w:ascii="Arial" w:hAnsi="Arial" w:cs="Arial"/>
          <w:sz w:val="18"/>
          <w:szCs w:val="18"/>
        </w:rPr>
      </w:pPr>
    </w:p>
    <w:p w:rsidR="004164FC" w:rsidRPr="00315B62" w:rsidRDefault="004164FC" w:rsidP="00315B62">
      <w:pPr>
        <w:pStyle w:val="ListParagraph"/>
        <w:numPr>
          <w:ilvl w:val="0"/>
          <w:numId w:val="2"/>
        </w:numPr>
        <w:autoSpaceDE w:val="0"/>
        <w:autoSpaceDN w:val="0"/>
        <w:adjustRightInd w:val="0"/>
        <w:spacing w:line="240" w:lineRule="auto"/>
        <w:jc w:val="both"/>
        <w:rPr>
          <w:rFonts w:ascii="Arial" w:hAnsi="Arial" w:cs="Arial"/>
          <w:sz w:val="18"/>
          <w:szCs w:val="18"/>
        </w:rPr>
      </w:pPr>
      <w:r w:rsidRPr="00315B62">
        <w:rPr>
          <w:rFonts w:ascii="Arial" w:hAnsi="Arial" w:cs="Arial"/>
          <w:b/>
          <w:sz w:val="18"/>
          <w:szCs w:val="18"/>
        </w:rPr>
        <w:t>NOT PROMOTING PROTECTION MECHANISMS</w:t>
      </w:r>
      <w:r w:rsidRPr="00315B62">
        <w:rPr>
          <w:rFonts w:ascii="Arial" w:hAnsi="Arial" w:cs="Arial"/>
          <w:sz w:val="18"/>
          <w:szCs w:val="18"/>
        </w:rPr>
        <w:t>: safety nets, contingencies, and social protection may act as mechanisms to stop people falling into crisis without resorting to harmful behaviour or negative coping strategies. Vulnerable people should be linked to national social protection mechanisms where they exist, but safety nets can also be community based such as grain and fodder banks or saving circles.</w:t>
      </w:r>
    </w:p>
    <w:p w:rsidR="00315B62" w:rsidRPr="00315B62" w:rsidRDefault="00315B62" w:rsidP="00315B62">
      <w:pPr>
        <w:pStyle w:val="ListParagraph"/>
        <w:autoSpaceDE w:val="0"/>
        <w:autoSpaceDN w:val="0"/>
        <w:adjustRightInd w:val="0"/>
        <w:spacing w:line="240" w:lineRule="auto"/>
        <w:ind w:left="360"/>
        <w:jc w:val="both"/>
        <w:rPr>
          <w:rFonts w:ascii="Arial" w:hAnsi="Arial" w:cs="Arial"/>
          <w:b/>
          <w:sz w:val="10"/>
          <w:szCs w:val="10"/>
        </w:rPr>
      </w:pPr>
    </w:p>
    <w:p w:rsidR="00834472" w:rsidRPr="00315B62" w:rsidRDefault="00834472" w:rsidP="00315B62">
      <w:pPr>
        <w:pStyle w:val="ListParagraph"/>
        <w:numPr>
          <w:ilvl w:val="0"/>
          <w:numId w:val="2"/>
        </w:numPr>
        <w:autoSpaceDE w:val="0"/>
        <w:autoSpaceDN w:val="0"/>
        <w:adjustRightInd w:val="0"/>
        <w:spacing w:line="240" w:lineRule="auto"/>
        <w:jc w:val="both"/>
        <w:rPr>
          <w:rFonts w:ascii="Arial" w:hAnsi="Arial" w:cs="Arial"/>
          <w:b/>
          <w:sz w:val="18"/>
          <w:szCs w:val="18"/>
        </w:rPr>
      </w:pPr>
      <w:r w:rsidRPr="00315B62">
        <w:rPr>
          <w:rFonts w:ascii="Arial" w:hAnsi="Arial" w:cs="Arial"/>
          <w:b/>
          <w:sz w:val="18"/>
          <w:szCs w:val="18"/>
        </w:rPr>
        <w:t xml:space="preserve">NOT ADDRESSING INEQUALITY </w:t>
      </w:r>
      <w:r w:rsidR="00076108" w:rsidRPr="00315B62">
        <w:rPr>
          <w:rFonts w:ascii="Arial" w:hAnsi="Arial" w:cs="Arial"/>
          <w:b/>
          <w:sz w:val="18"/>
          <w:szCs w:val="18"/>
        </w:rPr>
        <w:t xml:space="preserve">(including gender) </w:t>
      </w:r>
      <w:r w:rsidRPr="00315B62">
        <w:rPr>
          <w:rFonts w:ascii="Arial" w:hAnsi="Arial" w:cs="Arial"/>
          <w:sz w:val="18"/>
          <w:szCs w:val="18"/>
        </w:rPr>
        <w:t>by</w:t>
      </w:r>
      <w:r w:rsidRPr="00315B62">
        <w:rPr>
          <w:rFonts w:ascii="Arial" w:hAnsi="Arial" w:cs="Arial"/>
          <w:b/>
          <w:sz w:val="18"/>
          <w:szCs w:val="18"/>
        </w:rPr>
        <w:t xml:space="preserve"> </w:t>
      </w:r>
      <w:r w:rsidRPr="00315B62">
        <w:rPr>
          <w:rFonts w:ascii="Arial" w:hAnsi="Arial" w:cs="Arial"/>
          <w:sz w:val="18"/>
          <w:szCs w:val="18"/>
          <w:shd w:val="clear" w:color="auto" w:fill="FFFFFF"/>
        </w:rPr>
        <w:t>tackling the power imbalances that keep people poor and vulnerable. Factors such as gender inequality or lack of access to power often lie at the root of more visible causes of vulnerability. </w:t>
      </w:r>
      <w:r w:rsidR="00076108" w:rsidRPr="00315B62">
        <w:rPr>
          <w:rFonts w:ascii="Arial" w:hAnsi="Arial" w:cs="Arial"/>
          <w:sz w:val="18"/>
          <w:szCs w:val="18"/>
          <w:shd w:val="clear" w:color="auto" w:fill="FFFFFF"/>
        </w:rPr>
        <w:t xml:space="preserve">Risks and hazards affect men, women, boys and girls differently. </w:t>
      </w:r>
    </w:p>
    <w:p w:rsidR="00315B62" w:rsidRPr="00315B62" w:rsidRDefault="00315B62" w:rsidP="00315B62">
      <w:pPr>
        <w:pStyle w:val="ListParagraph"/>
        <w:autoSpaceDE w:val="0"/>
        <w:autoSpaceDN w:val="0"/>
        <w:adjustRightInd w:val="0"/>
        <w:spacing w:after="0" w:line="240" w:lineRule="auto"/>
        <w:ind w:left="360"/>
        <w:jc w:val="both"/>
        <w:rPr>
          <w:rFonts w:ascii="Arial" w:hAnsi="Arial" w:cs="Arial"/>
          <w:sz w:val="18"/>
          <w:szCs w:val="18"/>
        </w:rPr>
      </w:pPr>
    </w:p>
    <w:p w:rsidR="004164FC" w:rsidRPr="00315B62" w:rsidRDefault="004164FC" w:rsidP="00315B62">
      <w:pPr>
        <w:pStyle w:val="ListParagraph"/>
        <w:numPr>
          <w:ilvl w:val="0"/>
          <w:numId w:val="2"/>
        </w:numPr>
        <w:autoSpaceDE w:val="0"/>
        <w:autoSpaceDN w:val="0"/>
        <w:adjustRightInd w:val="0"/>
        <w:spacing w:after="0" w:line="240" w:lineRule="auto"/>
        <w:jc w:val="both"/>
        <w:rPr>
          <w:rFonts w:ascii="Arial" w:hAnsi="Arial" w:cs="Arial"/>
          <w:sz w:val="18"/>
          <w:szCs w:val="18"/>
        </w:rPr>
      </w:pPr>
      <w:r w:rsidRPr="00315B62">
        <w:rPr>
          <w:rFonts w:ascii="Arial" w:hAnsi="Arial" w:cs="Arial"/>
          <w:b/>
          <w:sz w:val="18"/>
          <w:szCs w:val="18"/>
        </w:rPr>
        <w:t xml:space="preserve">NOT LINKING TO EARLY WARNING SYSTEMS </w:t>
      </w:r>
      <w:r w:rsidRPr="00315B62">
        <w:rPr>
          <w:rFonts w:ascii="Arial" w:hAnsi="Arial" w:cs="Arial"/>
          <w:sz w:val="18"/>
          <w:szCs w:val="18"/>
        </w:rPr>
        <w:t>- early warning early action.  The anticipation of hazards, and allowing for emergency responses to happen, if possible, before a crisis occurs (the principle of EWEA). Coping and recovering capacity are the capacities to ‘live through’ a disaster, and then return back to the pre-disaster situation or, hopefully, a better one. Coping capacity can be significantly improved if vulnerable people can anticipate an event which allows them to take appropriate action such as seeking shelter, and safeguarding their productive assets.  There will always be hazards whose impacts overwhelm community resources, requiring an emergency response</w:t>
      </w:r>
      <w:r w:rsidR="003004AC" w:rsidRPr="00315B62">
        <w:rPr>
          <w:rStyle w:val="FootnoteReference"/>
          <w:rFonts w:ascii="Arial" w:hAnsi="Arial" w:cs="Arial"/>
          <w:sz w:val="18"/>
          <w:szCs w:val="18"/>
        </w:rPr>
        <w:footnoteReference w:id="1"/>
      </w:r>
      <w:r w:rsidRPr="00315B62">
        <w:rPr>
          <w:rFonts w:ascii="Arial" w:hAnsi="Arial" w:cs="Arial"/>
          <w:sz w:val="18"/>
          <w:szCs w:val="18"/>
        </w:rPr>
        <w:t xml:space="preserve">. </w:t>
      </w:r>
    </w:p>
    <w:p w:rsidR="00315B62" w:rsidRPr="00315B62" w:rsidRDefault="00315B62" w:rsidP="00315B62">
      <w:pPr>
        <w:pStyle w:val="ListParagraph"/>
        <w:autoSpaceDE w:val="0"/>
        <w:autoSpaceDN w:val="0"/>
        <w:adjustRightInd w:val="0"/>
        <w:spacing w:line="240" w:lineRule="auto"/>
        <w:ind w:left="360"/>
        <w:jc w:val="both"/>
        <w:rPr>
          <w:rFonts w:ascii="Arial" w:hAnsi="Arial" w:cs="Arial"/>
          <w:sz w:val="18"/>
          <w:szCs w:val="18"/>
        </w:rPr>
      </w:pPr>
    </w:p>
    <w:p w:rsidR="00261352" w:rsidRPr="00315B62" w:rsidRDefault="00A7387A" w:rsidP="00315B62">
      <w:pPr>
        <w:pStyle w:val="ListParagraph"/>
        <w:numPr>
          <w:ilvl w:val="0"/>
          <w:numId w:val="4"/>
        </w:numPr>
        <w:autoSpaceDE w:val="0"/>
        <w:autoSpaceDN w:val="0"/>
        <w:adjustRightInd w:val="0"/>
        <w:spacing w:line="240" w:lineRule="auto"/>
        <w:jc w:val="both"/>
        <w:rPr>
          <w:rFonts w:ascii="Arial" w:hAnsi="Arial" w:cs="Arial"/>
          <w:sz w:val="18"/>
          <w:szCs w:val="18"/>
        </w:rPr>
      </w:pPr>
      <w:r w:rsidRPr="00315B62">
        <w:rPr>
          <w:rFonts w:ascii="Arial" w:hAnsi="Arial" w:cs="Arial"/>
          <w:b/>
          <w:sz w:val="18"/>
          <w:szCs w:val="18"/>
        </w:rPr>
        <w:t xml:space="preserve">NOT DEVELOPING AN EXIT STRATEGY FROM THE OUTSET </w:t>
      </w:r>
      <w:r w:rsidRPr="00315B62">
        <w:rPr>
          <w:rFonts w:ascii="Arial" w:hAnsi="Arial" w:cs="Arial"/>
          <w:sz w:val="18"/>
          <w:szCs w:val="18"/>
        </w:rPr>
        <w:t xml:space="preserve">prevents </w:t>
      </w:r>
      <w:r w:rsidR="00261352" w:rsidRPr="00315B62">
        <w:rPr>
          <w:rFonts w:ascii="Arial" w:hAnsi="Arial" w:cs="Arial"/>
          <w:sz w:val="18"/>
          <w:szCs w:val="18"/>
        </w:rPr>
        <w:t xml:space="preserve">institutions </w:t>
      </w:r>
      <w:r w:rsidR="000F157F" w:rsidRPr="00315B62">
        <w:rPr>
          <w:rFonts w:ascii="Arial" w:hAnsi="Arial" w:cs="Arial"/>
          <w:sz w:val="18"/>
          <w:szCs w:val="18"/>
        </w:rPr>
        <w:t xml:space="preserve">from </w:t>
      </w:r>
      <w:r w:rsidR="00261352" w:rsidRPr="00315B62">
        <w:rPr>
          <w:rFonts w:ascii="Arial" w:hAnsi="Arial" w:cs="Arial"/>
          <w:sz w:val="18"/>
          <w:szCs w:val="18"/>
        </w:rPr>
        <w:t>becom</w:t>
      </w:r>
      <w:r w:rsidR="000F157F" w:rsidRPr="00315B62">
        <w:rPr>
          <w:rFonts w:ascii="Arial" w:hAnsi="Arial" w:cs="Arial"/>
          <w:sz w:val="18"/>
          <w:szCs w:val="18"/>
        </w:rPr>
        <w:t>ing</w:t>
      </w:r>
      <w:r w:rsidR="00261352" w:rsidRPr="00315B62">
        <w:rPr>
          <w:rFonts w:ascii="Arial" w:hAnsi="Arial" w:cs="Arial"/>
          <w:sz w:val="18"/>
          <w:szCs w:val="18"/>
        </w:rPr>
        <w:t xml:space="preserve"> fit for purpose in taking on the challenge of resilience building. This is a</w:t>
      </w:r>
      <w:r w:rsidR="003004AC" w:rsidRPr="00315B62">
        <w:rPr>
          <w:rFonts w:ascii="Arial" w:hAnsi="Arial" w:cs="Arial"/>
          <w:sz w:val="18"/>
          <w:szCs w:val="18"/>
        </w:rPr>
        <w:t xml:space="preserve"> critical </w:t>
      </w:r>
      <w:r w:rsidR="00261352" w:rsidRPr="00315B62">
        <w:rPr>
          <w:rFonts w:ascii="Arial" w:hAnsi="Arial" w:cs="Arial"/>
          <w:sz w:val="18"/>
          <w:szCs w:val="18"/>
        </w:rPr>
        <w:t>component of sustainability. Fostering a culture of innovation and learning is equally critical. The social,</w:t>
      </w:r>
      <w:r w:rsidR="00D47177" w:rsidRPr="00315B62">
        <w:rPr>
          <w:rFonts w:ascii="Arial" w:hAnsi="Arial" w:cs="Arial"/>
          <w:sz w:val="18"/>
          <w:szCs w:val="18"/>
        </w:rPr>
        <w:t xml:space="preserve"> </w:t>
      </w:r>
      <w:r w:rsidR="00261352" w:rsidRPr="00315B62">
        <w:rPr>
          <w:rFonts w:ascii="Arial" w:hAnsi="Arial" w:cs="Arial"/>
          <w:sz w:val="18"/>
          <w:szCs w:val="18"/>
        </w:rPr>
        <w:t>political, economic and environmental contexts change, and institutions and the people that they represent</w:t>
      </w:r>
      <w:r w:rsidR="00D47177" w:rsidRPr="00315B62">
        <w:rPr>
          <w:rFonts w:ascii="Arial" w:hAnsi="Arial" w:cs="Arial"/>
          <w:sz w:val="18"/>
          <w:szCs w:val="18"/>
        </w:rPr>
        <w:t xml:space="preserve"> </w:t>
      </w:r>
      <w:r w:rsidR="00261352" w:rsidRPr="00315B62">
        <w:rPr>
          <w:rFonts w:ascii="Arial" w:hAnsi="Arial" w:cs="Arial"/>
          <w:sz w:val="18"/>
          <w:szCs w:val="18"/>
        </w:rPr>
        <w:t>need to keep up with these changes, address the unexpected, and learn from experiences. This is</w:t>
      </w:r>
      <w:r w:rsidR="00D47177" w:rsidRPr="00315B62">
        <w:rPr>
          <w:rFonts w:ascii="Arial" w:hAnsi="Arial" w:cs="Arial"/>
          <w:sz w:val="18"/>
          <w:szCs w:val="18"/>
        </w:rPr>
        <w:t xml:space="preserve"> </w:t>
      </w:r>
      <w:r w:rsidR="00261352" w:rsidRPr="00315B62">
        <w:rPr>
          <w:rFonts w:ascii="Arial" w:hAnsi="Arial" w:cs="Arial"/>
          <w:sz w:val="18"/>
          <w:szCs w:val="18"/>
        </w:rPr>
        <w:t xml:space="preserve">especially important when considering the impacts of </w:t>
      </w:r>
      <w:r w:rsidR="00261352" w:rsidRPr="00315B62">
        <w:rPr>
          <w:rFonts w:ascii="Arial" w:hAnsi="Arial" w:cs="Arial"/>
          <w:b/>
          <w:sz w:val="18"/>
          <w:szCs w:val="18"/>
        </w:rPr>
        <w:t>climate change and uncertainty</w:t>
      </w:r>
      <w:r w:rsidR="00261352" w:rsidRPr="00315B62">
        <w:rPr>
          <w:rFonts w:ascii="Arial" w:hAnsi="Arial" w:cs="Arial"/>
          <w:sz w:val="18"/>
          <w:szCs w:val="18"/>
        </w:rPr>
        <w:t xml:space="preserve"> regarding the future.</w:t>
      </w:r>
      <w:r w:rsidR="003004AC" w:rsidRPr="00315B62">
        <w:rPr>
          <w:rFonts w:ascii="Arial" w:hAnsi="Arial" w:cs="Arial"/>
          <w:sz w:val="18"/>
          <w:szCs w:val="18"/>
        </w:rPr>
        <w:t xml:space="preserve"> </w:t>
      </w:r>
    </w:p>
    <w:p w:rsidR="000F157F" w:rsidRPr="00076108" w:rsidRDefault="000F157F" w:rsidP="000F157F">
      <w:pPr>
        <w:pStyle w:val="ListParagraph"/>
        <w:autoSpaceDE w:val="0"/>
        <w:autoSpaceDN w:val="0"/>
        <w:adjustRightInd w:val="0"/>
        <w:spacing w:after="0" w:line="240" w:lineRule="auto"/>
        <w:ind w:left="360"/>
        <w:jc w:val="both"/>
        <w:rPr>
          <w:rFonts w:ascii="Arial" w:hAnsi="Arial" w:cs="Arial"/>
          <w:sz w:val="16"/>
          <w:szCs w:val="16"/>
        </w:rPr>
      </w:pPr>
    </w:p>
    <w:p w:rsidR="00606683" w:rsidRPr="003A6A6F" w:rsidRDefault="00606683" w:rsidP="003A6A6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jc w:val="both"/>
        <w:rPr>
          <w:rFonts w:ascii="Arial" w:hAnsi="Arial" w:cs="Arial"/>
          <w:iCs/>
          <w:sz w:val="16"/>
          <w:szCs w:val="16"/>
        </w:rPr>
      </w:pPr>
      <w:r w:rsidRPr="003A6A6F">
        <w:rPr>
          <w:rFonts w:ascii="Arial" w:hAnsi="Arial" w:cs="Arial"/>
          <w:iCs/>
          <w:sz w:val="16"/>
          <w:szCs w:val="16"/>
        </w:rPr>
        <w:t xml:space="preserve">Resilience is the ability of an individual, a household, a community, a country or a region to </w:t>
      </w:r>
      <w:r w:rsidRPr="003A6A6F">
        <w:rPr>
          <w:rFonts w:ascii="Arial" w:hAnsi="Arial" w:cs="Arial"/>
          <w:b/>
          <w:iCs/>
          <w:sz w:val="16"/>
          <w:szCs w:val="16"/>
        </w:rPr>
        <w:t>withstand, adapt and to quickly recover</w:t>
      </w:r>
      <w:r w:rsidRPr="003A6A6F">
        <w:rPr>
          <w:rFonts w:ascii="Arial" w:hAnsi="Arial" w:cs="Arial"/>
          <w:iCs/>
          <w:sz w:val="16"/>
          <w:szCs w:val="16"/>
        </w:rPr>
        <w:t xml:space="preserve"> from stresses and shocks. </w:t>
      </w:r>
      <w:r w:rsidRPr="003A6A6F">
        <w:rPr>
          <w:rFonts w:ascii="Arial" w:hAnsi="Arial" w:cs="Arial"/>
          <w:sz w:val="16"/>
          <w:szCs w:val="16"/>
        </w:rPr>
        <w:t>(EU Communication on Resilience)</w:t>
      </w:r>
    </w:p>
    <w:p w:rsidR="00606683" w:rsidRPr="003A6A6F" w:rsidRDefault="00606683" w:rsidP="003A6A6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both"/>
        <w:rPr>
          <w:rStyle w:val="tgc"/>
          <w:rFonts w:ascii="Arial" w:hAnsi="Arial" w:cs="Arial"/>
          <w:color w:val="222222"/>
          <w:sz w:val="16"/>
          <w:szCs w:val="16"/>
        </w:rPr>
      </w:pPr>
      <w:r w:rsidRPr="003A6A6F">
        <w:rPr>
          <w:rStyle w:val="tgc"/>
          <w:rFonts w:ascii="Arial" w:hAnsi="Arial" w:cs="Arial"/>
          <w:color w:val="222222"/>
          <w:sz w:val="16"/>
          <w:szCs w:val="16"/>
        </w:rPr>
        <w:t xml:space="preserve">Disaster </w:t>
      </w:r>
      <w:r w:rsidRPr="003A6A6F">
        <w:rPr>
          <w:rStyle w:val="tgc"/>
          <w:rFonts w:ascii="Arial" w:hAnsi="Arial" w:cs="Arial"/>
          <w:b/>
          <w:bCs/>
          <w:color w:val="222222"/>
          <w:sz w:val="16"/>
          <w:szCs w:val="16"/>
        </w:rPr>
        <w:t>Resilience</w:t>
      </w:r>
      <w:r w:rsidRPr="003A6A6F">
        <w:rPr>
          <w:rStyle w:val="tgc"/>
          <w:rFonts w:ascii="Arial" w:hAnsi="Arial" w:cs="Arial"/>
          <w:color w:val="222222"/>
          <w:sz w:val="16"/>
          <w:szCs w:val="16"/>
        </w:rPr>
        <w:t xml:space="preserve"> is the ability of countries, communities and households to </w:t>
      </w:r>
      <w:r w:rsidRPr="003A6A6F">
        <w:rPr>
          <w:rStyle w:val="tgc"/>
          <w:rFonts w:ascii="Arial" w:hAnsi="Arial" w:cs="Arial"/>
          <w:b/>
          <w:color w:val="222222"/>
          <w:sz w:val="16"/>
          <w:szCs w:val="16"/>
        </w:rPr>
        <w:t>manage change</w:t>
      </w:r>
      <w:r w:rsidRPr="003A6A6F">
        <w:rPr>
          <w:rStyle w:val="tgc"/>
          <w:rFonts w:ascii="Arial" w:hAnsi="Arial" w:cs="Arial"/>
          <w:color w:val="222222"/>
          <w:sz w:val="16"/>
          <w:szCs w:val="16"/>
        </w:rPr>
        <w:t xml:space="preserve">, by </w:t>
      </w:r>
      <w:r w:rsidRPr="003A6A6F">
        <w:rPr>
          <w:rStyle w:val="tgc"/>
          <w:rFonts w:ascii="Arial" w:hAnsi="Arial" w:cs="Arial"/>
          <w:b/>
          <w:color w:val="222222"/>
          <w:sz w:val="16"/>
          <w:szCs w:val="16"/>
        </w:rPr>
        <w:t>maintaining or transforming living standards</w:t>
      </w:r>
      <w:r w:rsidRPr="003A6A6F">
        <w:rPr>
          <w:rStyle w:val="tgc"/>
          <w:rFonts w:ascii="Arial" w:hAnsi="Arial" w:cs="Arial"/>
          <w:color w:val="222222"/>
          <w:sz w:val="16"/>
          <w:szCs w:val="16"/>
        </w:rPr>
        <w:t xml:space="preserve"> in the face of shocks or stresses - such as earthquakes, drought or violent conflict - without compromising their </w:t>
      </w:r>
      <w:r w:rsidRPr="003A6A6F">
        <w:rPr>
          <w:rStyle w:val="tgc"/>
          <w:rFonts w:ascii="Arial" w:hAnsi="Arial" w:cs="Arial"/>
          <w:b/>
          <w:color w:val="222222"/>
          <w:sz w:val="16"/>
          <w:szCs w:val="16"/>
        </w:rPr>
        <w:t>long-term prospects</w:t>
      </w:r>
      <w:r w:rsidRPr="003A6A6F">
        <w:rPr>
          <w:rStyle w:val="tgc"/>
          <w:rFonts w:ascii="Arial" w:hAnsi="Arial" w:cs="Arial"/>
          <w:color w:val="222222"/>
          <w:sz w:val="16"/>
          <w:szCs w:val="16"/>
        </w:rPr>
        <w:t>.</w:t>
      </w:r>
      <w:r w:rsidRPr="003A6A6F">
        <w:rPr>
          <w:rStyle w:val="tgc"/>
          <w:rFonts w:ascii="Arial" w:hAnsi="Arial" w:cs="Arial"/>
          <w:b/>
          <w:bCs/>
          <w:color w:val="222222"/>
          <w:sz w:val="16"/>
          <w:szCs w:val="16"/>
        </w:rPr>
        <w:t xml:space="preserve"> (DFID)</w:t>
      </w:r>
    </w:p>
    <w:p w:rsidR="00606683" w:rsidRPr="003A6A6F" w:rsidRDefault="00606683" w:rsidP="003A6A6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both"/>
        <w:rPr>
          <w:rFonts w:ascii="Arial" w:hAnsi="Arial" w:cs="Arial"/>
          <w:sz w:val="16"/>
          <w:szCs w:val="16"/>
        </w:rPr>
      </w:pPr>
      <w:r w:rsidRPr="003A6A6F">
        <w:rPr>
          <w:rFonts w:ascii="Arial" w:hAnsi="Arial" w:cs="Arial"/>
          <w:sz w:val="16"/>
          <w:szCs w:val="16"/>
        </w:rPr>
        <w:t xml:space="preserve">The ability of people, households, communities, countries, and systems to </w:t>
      </w:r>
      <w:r w:rsidRPr="003A6A6F">
        <w:rPr>
          <w:rFonts w:ascii="Arial" w:hAnsi="Arial" w:cs="Arial"/>
          <w:b/>
          <w:sz w:val="16"/>
          <w:szCs w:val="16"/>
        </w:rPr>
        <w:t xml:space="preserve">mitigate, adapt to, and recover </w:t>
      </w:r>
      <w:r w:rsidRPr="003A6A6F">
        <w:rPr>
          <w:rFonts w:ascii="Arial" w:hAnsi="Arial" w:cs="Arial"/>
          <w:sz w:val="16"/>
          <w:szCs w:val="16"/>
        </w:rPr>
        <w:t xml:space="preserve">from shocks and stresses in a manner that </w:t>
      </w:r>
      <w:r w:rsidRPr="003A6A6F">
        <w:rPr>
          <w:rFonts w:ascii="Arial" w:hAnsi="Arial" w:cs="Arial"/>
          <w:b/>
          <w:sz w:val="16"/>
          <w:szCs w:val="16"/>
        </w:rPr>
        <w:t>reduces chronic vulnerability and facilitates inclusive growth</w:t>
      </w:r>
      <w:r w:rsidRPr="003A6A6F">
        <w:rPr>
          <w:rFonts w:ascii="Arial" w:hAnsi="Arial" w:cs="Arial"/>
          <w:sz w:val="16"/>
          <w:szCs w:val="16"/>
        </w:rPr>
        <w:t>. (USAID)</w:t>
      </w:r>
    </w:p>
    <w:p w:rsidR="000F157F" w:rsidRPr="003A6A6F" w:rsidRDefault="000F157F" w:rsidP="003A6A6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both"/>
        <w:rPr>
          <w:rFonts w:ascii="Arial" w:hAnsi="Arial" w:cs="Arial"/>
          <w:sz w:val="16"/>
          <w:szCs w:val="16"/>
        </w:rPr>
      </w:pPr>
      <w:r w:rsidRPr="003A6A6F">
        <w:rPr>
          <w:rFonts w:ascii="Arial" w:hAnsi="Arial" w:cs="Arial"/>
          <w:i/>
          <w:iCs/>
          <w:sz w:val="16"/>
          <w:szCs w:val="16"/>
        </w:rPr>
        <w:t xml:space="preserve">Community </w:t>
      </w:r>
      <w:r w:rsidRPr="003A6A6F">
        <w:rPr>
          <w:rFonts w:ascii="Arial" w:hAnsi="Arial" w:cs="Arial"/>
          <w:sz w:val="16"/>
          <w:szCs w:val="16"/>
        </w:rPr>
        <w:t>resilience is  ‘</w:t>
      </w:r>
      <w:r w:rsidRPr="003A6A6F">
        <w:rPr>
          <w:rFonts w:ascii="Arial" w:hAnsi="Arial" w:cs="Arial"/>
          <w:i/>
          <w:iCs/>
          <w:sz w:val="16"/>
          <w:szCs w:val="16"/>
        </w:rPr>
        <w:t xml:space="preserve">the ability of all vulnerable households or individuals that make up a community, to </w:t>
      </w:r>
      <w:r w:rsidRPr="003A6A6F">
        <w:rPr>
          <w:rFonts w:ascii="Arial" w:hAnsi="Arial" w:cs="Arial"/>
          <w:b/>
          <w:i/>
          <w:iCs/>
          <w:sz w:val="16"/>
          <w:szCs w:val="16"/>
          <w:highlight w:val="yellow"/>
        </w:rPr>
        <w:t>anticipate,</w:t>
      </w:r>
      <w:r w:rsidRPr="003A6A6F">
        <w:rPr>
          <w:rFonts w:ascii="Arial" w:hAnsi="Arial" w:cs="Arial"/>
          <w:b/>
          <w:i/>
          <w:iCs/>
          <w:sz w:val="16"/>
          <w:szCs w:val="16"/>
        </w:rPr>
        <w:t xml:space="preserve"> </w:t>
      </w:r>
      <w:r w:rsidRPr="003A6A6F">
        <w:rPr>
          <w:rFonts w:ascii="Arial" w:hAnsi="Arial" w:cs="Arial"/>
          <w:b/>
          <w:i/>
          <w:iCs/>
          <w:sz w:val="16"/>
          <w:szCs w:val="16"/>
          <w:highlight w:val="yellow"/>
        </w:rPr>
        <w:t>respond</w:t>
      </w:r>
      <w:r w:rsidRPr="003A6A6F">
        <w:rPr>
          <w:rFonts w:ascii="Arial" w:hAnsi="Arial" w:cs="Arial"/>
          <w:b/>
          <w:i/>
          <w:iCs/>
          <w:sz w:val="16"/>
          <w:szCs w:val="16"/>
        </w:rPr>
        <w:t xml:space="preserve"> to, </w:t>
      </w:r>
      <w:r w:rsidRPr="003A6A6F">
        <w:rPr>
          <w:rFonts w:ascii="Arial" w:hAnsi="Arial" w:cs="Arial"/>
          <w:b/>
          <w:i/>
          <w:iCs/>
          <w:sz w:val="16"/>
          <w:szCs w:val="16"/>
          <w:highlight w:val="yellow"/>
        </w:rPr>
        <w:t>cope</w:t>
      </w:r>
      <w:r w:rsidRPr="003A6A6F">
        <w:rPr>
          <w:rFonts w:ascii="Arial" w:hAnsi="Arial" w:cs="Arial"/>
          <w:b/>
          <w:i/>
          <w:iCs/>
          <w:sz w:val="16"/>
          <w:szCs w:val="16"/>
        </w:rPr>
        <w:t xml:space="preserve"> with, and </w:t>
      </w:r>
      <w:r w:rsidRPr="003A6A6F">
        <w:rPr>
          <w:rFonts w:ascii="Arial" w:hAnsi="Arial" w:cs="Arial"/>
          <w:b/>
          <w:i/>
          <w:iCs/>
          <w:sz w:val="16"/>
          <w:szCs w:val="16"/>
          <w:highlight w:val="yellow"/>
        </w:rPr>
        <w:t>recover</w:t>
      </w:r>
      <w:r w:rsidRPr="003A6A6F">
        <w:rPr>
          <w:rFonts w:ascii="Arial" w:hAnsi="Arial" w:cs="Arial"/>
          <w:b/>
          <w:i/>
          <w:iCs/>
          <w:sz w:val="16"/>
          <w:szCs w:val="16"/>
        </w:rPr>
        <w:t xml:space="preserve"> from the effects of shocks, and to </w:t>
      </w:r>
      <w:r w:rsidRPr="003A6A6F">
        <w:rPr>
          <w:rFonts w:ascii="Arial" w:hAnsi="Arial" w:cs="Arial"/>
          <w:b/>
          <w:i/>
          <w:iCs/>
          <w:sz w:val="16"/>
          <w:szCs w:val="16"/>
          <w:highlight w:val="yellow"/>
        </w:rPr>
        <w:t>adapt</w:t>
      </w:r>
      <w:r w:rsidRPr="003A6A6F">
        <w:rPr>
          <w:rFonts w:ascii="Arial" w:hAnsi="Arial" w:cs="Arial"/>
          <w:i/>
          <w:iCs/>
          <w:sz w:val="16"/>
          <w:szCs w:val="16"/>
        </w:rPr>
        <w:t xml:space="preserve"> to stresses in a timely and effective manner without compromising their long-term prospects of moving out of poverty.</w:t>
      </w:r>
      <w:r w:rsidR="00315B62" w:rsidRPr="003A6A6F">
        <w:rPr>
          <w:rFonts w:ascii="Arial" w:hAnsi="Arial" w:cs="Arial"/>
          <w:sz w:val="16"/>
          <w:szCs w:val="16"/>
        </w:rPr>
        <w:t xml:space="preserve"> (</w:t>
      </w:r>
      <w:r w:rsidRPr="003A6A6F">
        <w:rPr>
          <w:rFonts w:ascii="Arial" w:hAnsi="Arial" w:cs="Arial"/>
          <w:sz w:val="16"/>
          <w:szCs w:val="16"/>
        </w:rPr>
        <w:t xml:space="preserve">Concern </w:t>
      </w:r>
      <w:r w:rsidR="00315B62" w:rsidRPr="003A6A6F">
        <w:rPr>
          <w:rFonts w:ascii="Arial" w:hAnsi="Arial" w:cs="Arial"/>
          <w:sz w:val="16"/>
          <w:szCs w:val="16"/>
        </w:rPr>
        <w:t>Worldwide)</w:t>
      </w:r>
    </w:p>
    <w:sectPr w:rsidR="000F157F" w:rsidRPr="003A6A6F" w:rsidSect="00AA783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3E" w:rsidRDefault="0046283E" w:rsidP="003004AC">
      <w:pPr>
        <w:spacing w:after="0" w:line="240" w:lineRule="auto"/>
      </w:pPr>
      <w:r>
        <w:separator/>
      </w:r>
    </w:p>
  </w:endnote>
  <w:endnote w:type="continuationSeparator" w:id="0">
    <w:p w:rsidR="0046283E" w:rsidRDefault="0046283E" w:rsidP="0030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3E" w:rsidRDefault="0046283E" w:rsidP="003004AC">
      <w:pPr>
        <w:spacing w:after="0" w:line="240" w:lineRule="auto"/>
      </w:pPr>
      <w:r>
        <w:separator/>
      </w:r>
    </w:p>
  </w:footnote>
  <w:footnote w:type="continuationSeparator" w:id="0">
    <w:p w:rsidR="0046283E" w:rsidRDefault="0046283E" w:rsidP="003004AC">
      <w:pPr>
        <w:spacing w:after="0" w:line="240" w:lineRule="auto"/>
      </w:pPr>
      <w:r>
        <w:continuationSeparator/>
      </w:r>
    </w:p>
  </w:footnote>
  <w:footnote w:id="1">
    <w:p w:rsidR="002E6CB1" w:rsidRPr="00AA783D" w:rsidRDefault="002E6CB1" w:rsidP="003004AC">
      <w:pPr>
        <w:autoSpaceDE w:val="0"/>
        <w:autoSpaceDN w:val="0"/>
        <w:adjustRightInd w:val="0"/>
        <w:spacing w:after="0" w:line="240" w:lineRule="auto"/>
        <w:jc w:val="both"/>
        <w:rPr>
          <w:rFonts w:ascii="Arial" w:hAnsi="Arial" w:cs="Arial"/>
          <w:sz w:val="16"/>
          <w:szCs w:val="16"/>
        </w:rPr>
      </w:pPr>
      <w:r w:rsidRPr="00AA783D">
        <w:rPr>
          <w:rStyle w:val="FootnoteReference"/>
          <w:rFonts w:ascii="Arial" w:hAnsi="Arial" w:cs="Arial"/>
          <w:sz w:val="16"/>
          <w:szCs w:val="16"/>
        </w:rPr>
        <w:footnoteRef/>
      </w:r>
      <w:r w:rsidRPr="00AA783D">
        <w:rPr>
          <w:rFonts w:ascii="Arial" w:hAnsi="Arial" w:cs="Arial"/>
          <w:sz w:val="16"/>
          <w:szCs w:val="16"/>
        </w:rPr>
        <w:t xml:space="preserve"> A trap can be to focus on </w:t>
      </w:r>
      <w:r w:rsidRPr="00AA783D">
        <w:rPr>
          <w:rFonts w:ascii="Arial" w:hAnsi="Arial" w:cs="Arial"/>
          <w:b/>
          <w:sz w:val="16"/>
          <w:szCs w:val="16"/>
        </w:rPr>
        <w:t>preventing hazards from occurring</w:t>
      </w:r>
      <w:r w:rsidRPr="00AA783D">
        <w:rPr>
          <w:rFonts w:ascii="Arial" w:hAnsi="Arial" w:cs="Arial"/>
          <w:sz w:val="16"/>
          <w:szCs w:val="16"/>
        </w:rPr>
        <w:t xml:space="preserve"> </w:t>
      </w:r>
      <w:r>
        <w:rPr>
          <w:rFonts w:ascii="Arial" w:hAnsi="Arial" w:cs="Arial"/>
          <w:sz w:val="16"/>
          <w:szCs w:val="16"/>
        </w:rPr>
        <w:t xml:space="preserve">not </w:t>
      </w:r>
      <w:r w:rsidRPr="00AA783D">
        <w:rPr>
          <w:rFonts w:ascii="Arial" w:hAnsi="Arial" w:cs="Arial"/>
          <w:b/>
          <w:sz w:val="16"/>
          <w:szCs w:val="16"/>
        </w:rPr>
        <w:t>reducing impacts</w:t>
      </w:r>
      <w:r w:rsidRPr="00AA783D">
        <w:rPr>
          <w:rFonts w:ascii="Arial" w:hAnsi="Arial" w:cs="Arial"/>
          <w:sz w:val="16"/>
          <w:szCs w:val="16"/>
        </w:rPr>
        <w:t xml:space="preserve">, particularly those which are purely natural in origin. </w:t>
      </w:r>
      <w:r w:rsidRPr="00AA783D">
        <w:rPr>
          <w:rFonts w:ascii="Arial" w:hAnsi="Arial" w:cs="Arial"/>
          <w:b/>
          <w:sz w:val="16"/>
          <w:szCs w:val="16"/>
        </w:rPr>
        <w:t>Engineered</w:t>
      </w:r>
      <w:r w:rsidRPr="00AA783D">
        <w:rPr>
          <w:rFonts w:ascii="Arial" w:hAnsi="Arial" w:cs="Arial"/>
          <w:sz w:val="16"/>
          <w:szCs w:val="16"/>
        </w:rPr>
        <w:t xml:space="preserve"> preventative or scale limiting solutions are </w:t>
      </w:r>
      <w:r w:rsidRPr="00AA783D">
        <w:rPr>
          <w:rFonts w:ascii="Arial" w:hAnsi="Arial" w:cs="Arial"/>
          <w:b/>
          <w:sz w:val="16"/>
          <w:szCs w:val="16"/>
        </w:rPr>
        <w:t>expensive</w:t>
      </w:r>
      <w:r w:rsidRPr="00AA783D">
        <w:rPr>
          <w:rFonts w:ascii="Arial" w:hAnsi="Arial" w:cs="Arial"/>
          <w:sz w:val="16"/>
          <w:szCs w:val="16"/>
        </w:rPr>
        <w:t xml:space="preserve"> and should only be used when hazard exposure is high enough to warrant the expense, and when they cannot be sufficiently reduced with </w:t>
      </w:r>
      <w:r w:rsidRPr="00AA783D">
        <w:rPr>
          <w:rFonts w:ascii="Arial" w:hAnsi="Arial" w:cs="Arial"/>
          <w:b/>
          <w:sz w:val="16"/>
          <w:szCs w:val="16"/>
        </w:rPr>
        <w:t>NRM</w:t>
      </w:r>
      <w:r w:rsidRPr="00AA783D">
        <w:rPr>
          <w:rFonts w:ascii="Arial" w:hAnsi="Arial" w:cs="Arial"/>
          <w:sz w:val="16"/>
          <w:szCs w:val="16"/>
        </w:rPr>
        <w:t>.</w:t>
      </w:r>
      <w:r w:rsidR="00076108">
        <w:rPr>
          <w:rFonts w:ascii="Arial" w:hAnsi="Arial" w:cs="Arial"/>
          <w:sz w:val="16"/>
          <w:szCs w:val="16"/>
        </w:rPr>
        <w:t xml:space="preserve">  It is important to also consider that community asset creation should focus on a natural resource base rather than on artificially created ‘assets’ which are only sustainable as long as a programme is in place.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EF0"/>
    <w:multiLevelType w:val="hybridMultilevel"/>
    <w:tmpl w:val="15F837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3DC7960"/>
    <w:multiLevelType w:val="hybridMultilevel"/>
    <w:tmpl w:val="40FC8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A562741"/>
    <w:multiLevelType w:val="hybridMultilevel"/>
    <w:tmpl w:val="B6B026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74C50C85"/>
    <w:multiLevelType w:val="hybridMultilevel"/>
    <w:tmpl w:val="0C4632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52"/>
    <w:rsid w:val="00076108"/>
    <w:rsid w:val="000F157F"/>
    <w:rsid w:val="00261352"/>
    <w:rsid w:val="002E6CB1"/>
    <w:rsid w:val="003004AC"/>
    <w:rsid w:val="00315B62"/>
    <w:rsid w:val="003A6A6F"/>
    <w:rsid w:val="004164FC"/>
    <w:rsid w:val="0046283E"/>
    <w:rsid w:val="00466DB6"/>
    <w:rsid w:val="004703E7"/>
    <w:rsid w:val="00606683"/>
    <w:rsid w:val="00834472"/>
    <w:rsid w:val="0090321F"/>
    <w:rsid w:val="009555F3"/>
    <w:rsid w:val="00A7387A"/>
    <w:rsid w:val="00AA783D"/>
    <w:rsid w:val="00C750F4"/>
    <w:rsid w:val="00D47177"/>
    <w:rsid w:val="00DE2869"/>
    <w:rsid w:val="00E14123"/>
    <w:rsid w:val="00E36727"/>
    <w:rsid w:val="00FE62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10F92-A288-42D1-B879-6EA42AE8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B6"/>
    <w:pPr>
      <w:ind w:left="720"/>
      <w:contextualSpacing/>
    </w:pPr>
  </w:style>
  <w:style w:type="character" w:customStyle="1" w:styleId="tgc">
    <w:name w:val="_tgc"/>
    <w:basedOn w:val="DefaultParagraphFont"/>
    <w:rsid w:val="00E14123"/>
  </w:style>
  <w:style w:type="paragraph" w:styleId="FootnoteText">
    <w:name w:val="footnote text"/>
    <w:basedOn w:val="Normal"/>
    <w:link w:val="FootnoteTextChar"/>
    <w:uiPriority w:val="99"/>
    <w:semiHidden/>
    <w:unhideWhenUsed/>
    <w:rsid w:val="00300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4AC"/>
    <w:rPr>
      <w:sz w:val="20"/>
      <w:szCs w:val="20"/>
    </w:rPr>
  </w:style>
  <w:style w:type="character" w:styleId="FootnoteReference">
    <w:name w:val="footnote reference"/>
    <w:basedOn w:val="DefaultParagraphFont"/>
    <w:uiPriority w:val="99"/>
    <w:semiHidden/>
    <w:unhideWhenUsed/>
    <w:rsid w:val="003004AC"/>
    <w:rPr>
      <w:vertAlign w:val="superscript"/>
    </w:rPr>
  </w:style>
  <w:style w:type="paragraph" w:styleId="BalloonText">
    <w:name w:val="Balloon Text"/>
    <w:basedOn w:val="Normal"/>
    <w:link w:val="BalloonTextChar"/>
    <w:uiPriority w:val="99"/>
    <w:semiHidden/>
    <w:unhideWhenUsed/>
    <w:rsid w:val="000F1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19973">
      <w:bodyDiv w:val="1"/>
      <w:marLeft w:val="0"/>
      <w:marRight w:val="0"/>
      <w:marTop w:val="0"/>
      <w:marBottom w:val="0"/>
      <w:divBdr>
        <w:top w:val="none" w:sz="0" w:space="0" w:color="auto"/>
        <w:left w:val="none" w:sz="0" w:space="0" w:color="auto"/>
        <w:bottom w:val="none" w:sz="0" w:space="0" w:color="auto"/>
        <w:right w:val="none" w:sz="0" w:space="0" w:color="auto"/>
      </w:divBdr>
    </w:div>
    <w:div w:id="1149519678">
      <w:bodyDiv w:val="1"/>
      <w:marLeft w:val="0"/>
      <w:marRight w:val="0"/>
      <w:marTop w:val="0"/>
      <w:marBottom w:val="0"/>
      <w:divBdr>
        <w:top w:val="none" w:sz="0" w:space="0" w:color="auto"/>
        <w:left w:val="none" w:sz="0" w:space="0" w:color="auto"/>
        <w:bottom w:val="none" w:sz="0" w:space="0" w:color="auto"/>
        <w:right w:val="none" w:sz="0" w:space="0" w:color="auto"/>
      </w:divBdr>
    </w:div>
    <w:div w:id="11530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28EC9-4A38-49D3-924A-4B3DF2F6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Kingston</dc:creator>
  <cp:keywords/>
  <dc:description/>
  <cp:lastModifiedBy>Nellie Kingston</cp:lastModifiedBy>
  <cp:revision>7</cp:revision>
  <cp:lastPrinted>2017-10-24T05:21:00Z</cp:lastPrinted>
  <dcterms:created xsi:type="dcterms:W3CDTF">2017-10-24T04:49:00Z</dcterms:created>
  <dcterms:modified xsi:type="dcterms:W3CDTF">2017-10-26T19:59:00Z</dcterms:modified>
</cp:coreProperties>
</file>